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6646" w14:textId="77777777" w:rsidR="006C0E30" w:rsidRDefault="00610D39" w:rsidP="006C0E30">
      <w:pPr>
        <w:spacing w:after="0"/>
        <w:jc w:val="center"/>
        <w:rPr>
          <w:b/>
          <w:sz w:val="28"/>
          <w:szCs w:val="28"/>
        </w:rPr>
      </w:pPr>
      <w:r>
        <w:t>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br/>
      </w:r>
      <w:r w:rsidR="0049021E">
        <w:rPr>
          <w:b/>
          <w:sz w:val="28"/>
          <w:szCs w:val="28"/>
        </w:rPr>
        <w:t xml:space="preserve">Stanovisko </w:t>
      </w:r>
      <w:r w:rsidR="00A412BF">
        <w:rPr>
          <w:b/>
          <w:sz w:val="28"/>
          <w:szCs w:val="28"/>
        </w:rPr>
        <w:t xml:space="preserve">Svazu chemického průmyslu ČR </w:t>
      </w:r>
    </w:p>
    <w:p w14:paraId="1CD6E4F7" w14:textId="3D02EC77" w:rsidR="00610D39" w:rsidRDefault="00A412BF" w:rsidP="006C0E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6C0E30">
        <w:rPr>
          <w:b/>
          <w:sz w:val="28"/>
          <w:szCs w:val="28"/>
        </w:rPr>
        <w:t xml:space="preserve"> navrhovaným změnám v oblasti regulovaných cen energií </w:t>
      </w:r>
    </w:p>
    <w:p w14:paraId="7B1AA4FA" w14:textId="77777777" w:rsidR="00610D39" w:rsidRDefault="00610D39" w:rsidP="00610D39">
      <w:pPr>
        <w:spacing w:after="0" w:line="240" w:lineRule="auto"/>
        <w:rPr>
          <w:b/>
        </w:rPr>
      </w:pPr>
    </w:p>
    <w:p w14:paraId="49706DEA" w14:textId="4C5453C6" w:rsidR="0049021E" w:rsidRPr="00236938" w:rsidRDefault="0049021E" w:rsidP="00236938">
      <w:pPr>
        <w:spacing w:after="0"/>
        <w:rPr>
          <w:b/>
        </w:rPr>
      </w:pPr>
      <w:r w:rsidRPr="00D76DD7">
        <w:t xml:space="preserve">Svaz chemického průmyslu ČR </w:t>
      </w:r>
      <w:r>
        <w:t xml:space="preserve">je znepokojen navrhovanými změnami v oblasti regulovaných cen energií. </w:t>
      </w:r>
    </w:p>
    <w:p w14:paraId="793583B2" w14:textId="3DBD6639" w:rsidR="0049021E" w:rsidRPr="00D76DD7" w:rsidRDefault="0049021E" w:rsidP="0049021E">
      <w:pPr>
        <w:jc w:val="both"/>
      </w:pPr>
      <w:r>
        <w:t xml:space="preserve">Již v roce 2022 </w:t>
      </w:r>
      <w:r w:rsidRPr="00D76DD7">
        <w:t>si ve spolupráci s externí poradenskou firmou nechal zpracovat dopadovou studii „Dlouhodobá konkurenceschopnost chemického průmyslu v kontextu vývoje cen energií a dekarbonizace“. Z této studie vyplynulo, že po zvýšení cen zemního plynu a elektřiny činil jejich podíl na celkových nákladech až 17,0 %, resp. 9,2 %, přičemž náklady na energie průměrně stouply o 117</w:t>
      </w:r>
      <w:r>
        <w:t> </w:t>
      </w:r>
      <w:r w:rsidRPr="00D76DD7">
        <w:t>% (</w:t>
      </w:r>
      <w:r>
        <w:t xml:space="preserve">v případě maximálního nárůstu </w:t>
      </w:r>
      <w:r w:rsidRPr="00D76DD7">
        <w:t xml:space="preserve">o 220 %). Situace v roce 2023 se </w:t>
      </w:r>
      <w:r>
        <w:t xml:space="preserve">sice </w:t>
      </w:r>
      <w:r w:rsidRPr="00D76DD7">
        <w:t xml:space="preserve">zlepšila a nákladové zatížení </w:t>
      </w:r>
      <w:r>
        <w:t xml:space="preserve">v současné době </w:t>
      </w:r>
      <w:r w:rsidRPr="00D76DD7">
        <w:t>není tak vysoké, jako v roce 2022. Přesto ceny zemního plynu (jak uvádí evropská chemická asociace C</w:t>
      </w:r>
      <w:r w:rsidR="006C0E30">
        <w:t>EFIC</w:t>
      </w:r>
      <w:r w:rsidRPr="00D76DD7">
        <w:t xml:space="preserve"> v posledním měsíčním „</w:t>
      </w:r>
      <w:proofErr w:type="spellStart"/>
      <w:r w:rsidRPr="00D76DD7">
        <w:t>Facts</w:t>
      </w:r>
      <w:proofErr w:type="spellEnd"/>
      <w:r w:rsidRPr="00D76DD7">
        <w:t xml:space="preserve"> and </w:t>
      </w:r>
      <w:proofErr w:type="spellStart"/>
      <w:r w:rsidRPr="00D76DD7">
        <w:t>Figures</w:t>
      </w:r>
      <w:proofErr w:type="spellEnd"/>
      <w:r w:rsidRPr="00D76DD7">
        <w:t>“) jsou v Evropě stále 3,5 x vyšší než v USA, což významně ovlivňuje konkurenceschopnost evropského, potažmo českého chemického průmyslu. Nav</w:t>
      </w:r>
      <w:r>
        <w:t>r</w:t>
      </w:r>
      <w:r w:rsidRPr="00D76DD7">
        <w:t xml:space="preserve">ženými opatřeními vlády platnými pro rok 2024 se situace opět významně </w:t>
      </w:r>
      <w:proofErr w:type="gramStart"/>
      <w:r w:rsidRPr="00D76DD7">
        <w:t>zhorší</w:t>
      </w:r>
      <w:proofErr w:type="gramEnd"/>
      <w:r w:rsidRPr="00D76DD7">
        <w:t>.</w:t>
      </w:r>
    </w:p>
    <w:p w14:paraId="428A7379" w14:textId="6576354E" w:rsidR="0049021E" w:rsidRPr="00D76DD7" w:rsidRDefault="0049021E" w:rsidP="0049021E">
      <w:pPr>
        <w:jc w:val="both"/>
      </w:pPr>
      <w:r w:rsidRPr="00D76DD7">
        <w:t>Řada podniků chemického odvětví omezila výrobu z důvodu poklesu poptávky způsobené mj. i nárůstem cen finální produkce</w:t>
      </w:r>
      <w:r>
        <w:t xml:space="preserve">, </w:t>
      </w:r>
      <w:r w:rsidRPr="00D76DD7">
        <w:t>pro zajištění alespoň minimální ziskovosti výroby. Jak uvádí evropská chemická asociace C</w:t>
      </w:r>
      <w:r w:rsidR="00281725">
        <w:t>EFIC</w:t>
      </w:r>
      <w:r w:rsidRPr="00D76DD7">
        <w:t xml:space="preserve"> v posledním měsíčním „</w:t>
      </w:r>
      <w:proofErr w:type="spellStart"/>
      <w:r w:rsidRPr="00D76DD7">
        <w:t>Facts</w:t>
      </w:r>
      <w:proofErr w:type="spellEnd"/>
      <w:r w:rsidRPr="00D76DD7">
        <w:t xml:space="preserve"> and </w:t>
      </w:r>
      <w:proofErr w:type="spellStart"/>
      <w:r w:rsidRPr="00D76DD7">
        <w:t>Figures</w:t>
      </w:r>
      <w:proofErr w:type="spellEnd"/>
      <w:r w:rsidRPr="00D76DD7">
        <w:t xml:space="preserve">“ v chemickém průmyslu EU došlo </w:t>
      </w:r>
      <w:r>
        <w:t>k </w:t>
      </w:r>
      <w:r w:rsidRPr="00D76DD7">
        <w:t xml:space="preserve">15% poklesu produkce za posledních 12 měsíců, v ČR </w:t>
      </w:r>
      <w:r>
        <w:t xml:space="preserve">činil pokles </w:t>
      </w:r>
      <w:r w:rsidRPr="00D76DD7">
        <w:t>13 %, což přispělo i k celkovému poklesu průmyslové produkce v ČR meziročně o 0,6 % (jak uvedl ČSÚ na konci října t.r.).</w:t>
      </w:r>
    </w:p>
    <w:p w14:paraId="547CB66F" w14:textId="77777777" w:rsidR="0049021E" w:rsidRPr="00D76DD7" w:rsidRDefault="0049021E" w:rsidP="0049021E">
      <w:pPr>
        <w:jc w:val="both"/>
      </w:pPr>
      <w:r w:rsidRPr="00D76DD7">
        <w:t>I nadále pokračuje trend přemisťování výrob základních chemikálií s nižší přidanou hodnotou mimo EU do zemí méně svázaných přísnou energeticko-klimatickou legislativou. Na druhou stranu si EU postupně uvědomuje některé kritické problémy spojené s dovozem těchto surovin do EU, tento problém nedostatku surovin pro výrobu pokročilejších produktů se projevil například v době Covid-19, dnes je vnímán například v souvislosti s farmaceutickou výrobou.</w:t>
      </w:r>
    </w:p>
    <w:p w14:paraId="066BDB17" w14:textId="77777777" w:rsidR="0049021E" w:rsidRPr="00D76DD7" w:rsidRDefault="0049021E" w:rsidP="0049021E">
      <w:pPr>
        <w:jc w:val="both"/>
      </w:pPr>
      <w:r w:rsidRPr="00D76DD7">
        <w:t>Za pozitivní považujeme, že se po tlaku průmyslu vláda rozhodla využít Dočasného krizového rámce</w:t>
      </w:r>
      <w:r>
        <w:t> </w:t>
      </w:r>
      <w:r w:rsidRPr="00D76DD7">
        <w:t xml:space="preserve">(DKR) pro podporu velkých firem v nejsložitějším období vysokých cen energií. S jeho využitím však nelze nadále počítat. Na druhou stranu negativním aspektem bylo </w:t>
      </w:r>
      <w:r>
        <w:t xml:space="preserve">vládou přijaté </w:t>
      </w:r>
      <w:r w:rsidRPr="00D76DD7">
        <w:t>snížení objemu finančních prostředků určených pro kompenzace nepřímých nákladů (KNN) v souvislosti s vysokou cenou povolenky odůvodňovan</w:t>
      </w:r>
      <w:r>
        <w:t>é</w:t>
      </w:r>
      <w:r w:rsidRPr="00D76DD7">
        <w:t xml:space="preserve"> dvojí podporou pro firmy, které čerpají v rámci DKR a KNN. Jako zástupce firem spadajících do množiny energeticky náročného odvětví však </w:t>
      </w:r>
      <w:r>
        <w:t>a</w:t>
      </w:r>
      <w:r w:rsidRPr="00D76DD7">
        <w:t xml:space="preserve">rgumentaci </w:t>
      </w:r>
      <w:r>
        <w:t xml:space="preserve">odůvodňující snížení </w:t>
      </w:r>
      <w:r w:rsidRPr="00D76DD7">
        <w:t xml:space="preserve">považujeme za nejasnou a dokonce nedůvodnou, protože se jedná o dva spolu nesouvisející režimy podpory. </w:t>
      </w:r>
    </w:p>
    <w:p w14:paraId="66649B5C" w14:textId="77777777" w:rsidR="0049021E" w:rsidRPr="00D76DD7" w:rsidRDefault="0049021E" w:rsidP="0049021E">
      <w:pPr>
        <w:jc w:val="both"/>
      </w:pPr>
      <w:r w:rsidRPr="00D76DD7">
        <w:t xml:space="preserve">Klíčovým dopadem na energeticky náročná odvětví, mezi které chemický průmysl </w:t>
      </w:r>
      <w:proofErr w:type="gramStart"/>
      <w:r w:rsidRPr="00D76DD7">
        <w:t>patří</w:t>
      </w:r>
      <w:proofErr w:type="gramEnd"/>
      <w:r w:rsidRPr="00D76DD7">
        <w:t xml:space="preserve">, je vrácení plateb za podporu obnovitelných zdrojů energie (POZE) na původní úroveň před energetickou krizí a navyšování plateb za regulovanou složku energií. V případě plateb za POZE budou čeští výrobci znevýhodněni například proti svému sousedovi </w:t>
      </w:r>
      <w:r>
        <w:t xml:space="preserve">a významnému obchodnímu partnerovi </w:t>
      </w:r>
      <w:r w:rsidRPr="00D76DD7">
        <w:t xml:space="preserve">SRN, kde odběratelé elektřiny tento příplatek nemusí platit a dodavatelé elektřiny musí snížení v plné výši přenést na konečné spotřebitele. V SRN je pro tento účel zřízen speciální fond, jehož zdroje mj. částečně </w:t>
      </w:r>
      <w:proofErr w:type="gramStart"/>
      <w:r w:rsidRPr="00D76DD7">
        <w:t>tvoří</w:t>
      </w:r>
      <w:proofErr w:type="gramEnd"/>
      <w:r w:rsidRPr="00D76DD7">
        <w:t xml:space="preserve"> i výnosy u aukce povolenek EU ETS.</w:t>
      </w:r>
    </w:p>
    <w:p w14:paraId="3CA8FC74" w14:textId="77777777" w:rsidR="0049021E" w:rsidRPr="00D76DD7" w:rsidRDefault="0049021E" w:rsidP="0049021E">
      <w:pPr>
        <w:jc w:val="both"/>
      </w:pPr>
      <w:r w:rsidRPr="00D76DD7">
        <w:t xml:space="preserve"> </w:t>
      </w:r>
    </w:p>
    <w:p w14:paraId="39E9B46D" w14:textId="77777777" w:rsidR="0049021E" w:rsidRPr="00D76DD7" w:rsidRDefault="0049021E" w:rsidP="0049021E">
      <w:pPr>
        <w:jc w:val="both"/>
      </w:pPr>
      <w:r w:rsidRPr="00D76DD7">
        <w:lastRenderedPageBreak/>
        <w:t xml:space="preserve">Regulované složky ceny energií </w:t>
      </w:r>
      <w:proofErr w:type="gramStart"/>
      <w:r w:rsidRPr="00D76DD7">
        <w:t>tvoří</w:t>
      </w:r>
      <w:proofErr w:type="gramEnd"/>
      <w:r w:rsidRPr="00D76DD7">
        <w:t xml:space="preserve"> nejvýznamnější část koncové ceny elektrické energie a v souvislosti s předpokládaným rozvojem v souvislosti s rozvojem OZE se dá očekávat další významný nárůst podílu regulované složky ceny v celkové ceně. </w:t>
      </w:r>
    </w:p>
    <w:p w14:paraId="1481EA7D" w14:textId="77777777" w:rsidR="0049021E" w:rsidRDefault="0049021E" w:rsidP="0049021E">
      <w:pPr>
        <w:jc w:val="both"/>
      </w:pPr>
      <w:r w:rsidRPr="00D76DD7">
        <w:t xml:space="preserve">Česká vláda se tak rozhodla </w:t>
      </w:r>
      <w:bookmarkStart w:id="0" w:name="_Hlk149811589"/>
      <w:r w:rsidRPr="00D76DD7">
        <w:t xml:space="preserve">snížit podporu v této oblasti v podstatě na nulu </w:t>
      </w:r>
      <w:bookmarkEnd w:id="0"/>
      <w:r w:rsidRPr="00D76DD7">
        <w:t xml:space="preserve">a průmyslu tak razantně zvýšit jejich náklady na energie. Pro energeticky náročné podniky by aktuální nastavení představené vládou znamenalo i několikanásobné zvýšení oproti úrovni, kterou platily do roku 2021 a pro některé firmy nárůst nákladů na regulované ceny o stovky procent. </w:t>
      </w:r>
      <w:r>
        <w:t xml:space="preserve">Dle prvních průzkumů mezi členy Svazu dojde navrhovaným opatřením k navýšení </w:t>
      </w:r>
      <w:r w:rsidRPr="00236938">
        <w:t>nákladů o více než 1 mld. korun</w:t>
      </w:r>
      <w:r>
        <w:t>.</w:t>
      </w:r>
    </w:p>
    <w:p w14:paraId="570D7694" w14:textId="3BADEE9F" w:rsidR="0049021E" w:rsidRPr="00B275F0" w:rsidRDefault="0049021E" w:rsidP="0049021E">
      <w:pPr>
        <w:jc w:val="both"/>
        <w:rPr>
          <w:b/>
          <w:bCs/>
        </w:rPr>
      </w:pPr>
      <w:r w:rsidRPr="00B275F0">
        <w:rPr>
          <w:b/>
          <w:bCs/>
        </w:rPr>
        <w:t xml:space="preserve">Takový nárůst nákladů bude znamenat </w:t>
      </w:r>
      <w:r w:rsidR="00B275F0" w:rsidRPr="00B275F0">
        <w:rPr>
          <w:b/>
          <w:bCs/>
        </w:rPr>
        <w:t xml:space="preserve">snížení ziskovosti s dopady na daňové výnosy pro stát a </w:t>
      </w:r>
      <w:r w:rsidRPr="00B275F0">
        <w:rPr>
          <w:b/>
          <w:bCs/>
        </w:rPr>
        <w:t>významné omezení investic, mj. i investic do dekarbonizace a příp. i</w:t>
      </w:r>
      <w:r w:rsidR="006C4B89" w:rsidRPr="00B275F0">
        <w:rPr>
          <w:b/>
          <w:bCs/>
        </w:rPr>
        <w:t> </w:t>
      </w:r>
      <w:r w:rsidRPr="00B275F0">
        <w:rPr>
          <w:b/>
          <w:bCs/>
        </w:rPr>
        <w:t>budování vlastních obnovitelných zdrojů energií a nepochybně i sociální dopady z důvodu omezených možností zvyšování platů a dalších sociálních výhod pro zaměstnance.</w:t>
      </w:r>
    </w:p>
    <w:p w14:paraId="33629772" w14:textId="75B47DE8" w:rsidR="0049021E" w:rsidRPr="00B275F0" w:rsidRDefault="00B275F0" w:rsidP="0049021E">
      <w:pPr>
        <w:jc w:val="both"/>
        <w:rPr>
          <w:b/>
          <w:bCs/>
        </w:rPr>
      </w:pPr>
      <w:bookmarkStart w:id="1" w:name="_Hlk149811696"/>
      <w:r w:rsidRPr="00B275F0">
        <w:rPr>
          <w:b/>
          <w:bCs/>
        </w:rPr>
        <w:t>Chemický p</w:t>
      </w:r>
      <w:r w:rsidR="0049021E" w:rsidRPr="00B275F0">
        <w:rPr>
          <w:b/>
          <w:bCs/>
        </w:rPr>
        <w:t>růmysl proto v souvislosti se zachováním konkurenceschopnosti alespoň v rámci EU požaduje minimálně návrat ke stavu před covidovým obdobím, kdy byla ze státního rozpočtu hrazena nadpoloviční část příplatku a případně rozložení náběhu finanční zátěže na delší období, nikoliv jednorázově.</w:t>
      </w:r>
    </w:p>
    <w:bookmarkEnd w:id="1"/>
    <w:p w14:paraId="6858BD11" w14:textId="77777777" w:rsidR="0049021E" w:rsidRPr="00D76DD7" w:rsidRDefault="0049021E" w:rsidP="0049021E">
      <w:pPr>
        <w:jc w:val="both"/>
      </w:pPr>
      <w:r w:rsidRPr="00D76DD7">
        <w:t>V rámci debaty na sněmu Svazu průmyslu a dopravy ČR v Brně premiér osobně přislíbil, že vláda bude s průmyslem ještě v této souvislosti jednat, tedy pevně věříme, že dojde k nastavení spravedlivých podmínek pro český průmysl.</w:t>
      </w:r>
    </w:p>
    <w:p w14:paraId="2F5A138D" w14:textId="77777777" w:rsidR="0049021E" w:rsidRPr="00D76DD7" w:rsidRDefault="0049021E" w:rsidP="0049021E">
      <w:pPr>
        <w:jc w:val="both"/>
      </w:pPr>
    </w:p>
    <w:p w14:paraId="2DACC644" w14:textId="568A90E9" w:rsidR="0049021E" w:rsidRPr="00D76DD7" w:rsidRDefault="00A412BF" w:rsidP="0049021E">
      <w:pPr>
        <w:jc w:val="both"/>
      </w:pPr>
      <w:r w:rsidRPr="006654B9">
        <w:t xml:space="preserve">V Praze dne </w:t>
      </w:r>
      <w:r w:rsidR="00910BA0">
        <w:t>1</w:t>
      </w:r>
      <w:r w:rsidRPr="006654B9">
        <w:t xml:space="preserve">. </w:t>
      </w:r>
      <w:r w:rsidR="009E18DE">
        <w:t>listopadu</w:t>
      </w:r>
      <w:r>
        <w:t xml:space="preserve"> 2023</w:t>
      </w:r>
    </w:p>
    <w:p w14:paraId="5F0E2708" w14:textId="4B3F9E26" w:rsidR="00253D27" w:rsidRDefault="00253D27" w:rsidP="009806F8"/>
    <w:sectPr w:rsidR="00253D27" w:rsidSect="00253D27">
      <w:headerReference w:type="default" r:id="rId8"/>
      <w:footerReference w:type="default" r:id="rId9"/>
      <w:pgSz w:w="11906" w:h="16838"/>
      <w:pgMar w:top="1134" w:right="1134" w:bottom="1134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3680" w14:textId="77777777" w:rsidR="004151C1" w:rsidRDefault="004151C1" w:rsidP="00C5572D">
      <w:pPr>
        <w:spacing w:after="0" w:line="240" w:lineRule="auto"/>
      </w:pPr>
      <w:r>
        <w:separator/>
      </w:r>
    </w:p>
  </w:endnote>
  <w:endnote w:type="continuationSeparator" w:id="0">
    <w:p w14:paraId="1EA3220A" w14:textId="77777777" w:rsidR="004151C1" w:rsidRDefault="004151C1" w:rsidP="00C5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C3609" w:rsidRPr="003C3609" w14:paraId="350B6EBE" w14:textId="77777777" w:rsidTr="003C3609">
      <w:tc>
        <w:tcPr>
          <w:tcW w:w="5000" w:type="pct"/>
          <w:vAlign w:val="center"/>
        </w:tcPr>
        <w:p w14:paraId="507509F2" w14:textId="77777777" w:rsidR="003C3609" w:rsidRPr="003C3609" w:rsidRDefault="003C3609" w:rsidP="003C3609">
          <w:pPr>
            <w:pStyle w:val="Bezmezer"/>
            <w:tabs>
              <w:tab w:val="left" w:pos="7995"/>
            </w:tabs>
            <w:spacing w:before="100" w:beforeAutospacing="1" w:after="100" w:afterAutospacing="1"/>
            <w:contextualSpacing/>
            <w:rPr>
              <w:sz w:val="18"/>
              <w:szCs w:val="18"/>
            </w:rPr>
          </w:pPr>
        </w:p>
      </w:tc>
    </w:tr>
    <w:tr w:rsidR="00896CC6" w:rsidRPr="003C3609" w14:paraId="7882304D" w14:textId="77777777" w:rsidTr="003C3609">
      <w:tc>
        <w:tcPr>
          <w:tcW w:w="5000" w:type="pct"/>
          <w:vAlign w:val="center"/>
        </w:tcPr>
        <w:p w14:paraId="12A44319" w14:textId="77777777" w:rsidR="003C3609" w:rsidRPr="003C3609" w:rsidRDefault="003C3609" w:rsidP="003C3609">
          <w:pPr>
            <w:pStyle w:val="Bezmezer"/>
            <w:tabs>
              <w:tab w:val="left" w:pos="7995"/>
            </w:tabs>
            <w:spacing w:before="100" w:beforeAutospacing="1" w:after="100" w:afterAutospacing="1"/>
            <w:contextualSpacing/>
            <w:rPr>
              <w:sz w:val="18"/>
              <w:szCs w:val="18"/>
            </w:rPr>
          </w:pPr>
          <w:r w:rsidRPr="003C3609">
            <w:rPr>
              <w:sz w:val="18"/>
              <w:szCs w:val="18"/>
            </w:rPr>
            <w:t xml:space="preserve">Svaz chemického průmyslu </w:t>
          </w:r>
          <w:r w:rsidR="00896CC6" w:rsidRPr="003C3609">
            <w:rPr>
              <w:sz w:val="18"/>
              <w:szCs w:val="18"/>
            </w:rPr>
            <w:t>ČR</w:t>
          </w:r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z.s</w:t>
          </w:r>
          <w:proofErr w:type="spellEnd"/>
          <w:r>
            <w:rPr>
              <w:sz w:val="18"/>
              <w:szCs w:val="18"/>
            </w:rPr>
            <w:t>. |</w:t>
          </w:r>
          <w:r w:rsidR="00896CC6" w:rsidRPr="003C3609">
            <w:rPr>
              <w:sz w:val="18"/>
              <w:szCs w:val="18"/>
            </w:rPr>
            <w:t xml:space="preserve"> </w:t>
          </w:r>
          <w:r w:rsidRPr="003C3609">
            <w:rPr>
              <w:sz w:val="18"/>
              <w:szCs w:val="18"/>
            </w:rPr>
            <w:t>zapsan</w:t>
          </w:r>
          <w:r>
            <w:rPr>
              <w:sz w:val="18"/>
              <w:szCs w:val="18"/>
            </w:rPr>
            <w:t xml:space="preserve">ý </w:t>
          </w:r>
          <w:r w:rsidRPr="003C3609">
            <w:rPr>
              <w:sz w:val="18"/>
              <w:szCs w:val="18"/>
            </w:rPr>
            <w:t xml:space="preserve">pod značkou L 66302 u Městského soudu v Praze | </w:t>
          </w:r>
          <w:r w:rsidR="00896CC6" w:rsidRPr="003C3609">
            <w:rPr>
              <w:sz w:val="18"/>
              <w:szCs w:val="18"/>
            </w:rPr>
            <w:t>IČ 16193725</w:t>
          </w:r>
        </w:p>
        <w:p w14:paraId="42AEC1EA" w14:textId="77777777" w:rsidR="000E122B" w:rsidRDefault="00896CC6" w:rsidP="003C3609">
          <w:pPr>
            <w:pStyle w:val="Bezmezer"/>
            <w:tabs>
              <w:tab w:val="left" w:pos="7995"/>
            </w:tabs>
            <w:spacing w:before="100" w:beforeAutospacing="1" w:after="100" w:afterAutospacing="1"/>
            <w:contextualSpacing/>
            <w:rPr>
              <w:rStyle w:val="Hypertextovodkaz"/>
              <w:sz w:val="18"/>
              <w:szCs w:val="18"/>
            </w:rPr>
          </w:pPr>
          <w:r w:rsidRPr="003C3609">
            <w:rPr>
              <w:sz w:val="18"/>
              <w:szCs w:val="18"/>
            </w:rPr>
            <w:t xml:space="preserve">Rubeška </w:t>
          </w:r>
          <w:r w:rsidRPr="003C3609">
            <w:rPr>
              <w:iCs/>
              <w:sz w:val="18"/>
              <w:szCs w:val="18"/>
            </w:rPr>
            <w:t>393/7, 190 00 Praha 9</w:t>
          </w:r>
          <w:r w:rsidR="003C3609">
            <w:rPr>
              <w:iCs/>
              <w:sz w:val="18"/>
              <w:szCs w:val="18"/>
            </w:rPr>
            <w:t xml:space="preserve"> | </w:t>
          </w:r>
          <w:hyperlink r:id="rId1" w:history="1">
            <w:r w:rsidR="003C3609" w:rsidRPr="008F1D25">
              <w:rPr>
                <w:rStyle w:val="Hypertextovodkaz"/>
                <w:sz w:val="18"/>
                <w:szCs w:val="18"/>
              </w:rPr>
              <w:t>www.schp.cz</w:t>
            </w:r>
          </w:hyperlink>
        </w:p>
        <w:p w14:paraId="455211D0" w14:textId="77777777" w:rsidR="00896CC6" w:rsidRPr="000E122B" w:rsidRDefault="000E122B" w:rsidP="000E122B">
          <w:pPr>
            <w:pStyle w:val="Bezmezer"/>
            <w:tabs>
              <w:tab w:val="left" w:pos="7995"/>
            </w:tabs>
            <w:spacing w:before="100" w:beforeAutospacing="1" w:after="100" w:afterAutospacing="1"/>
            <w:contextualSpacing/>
            <w:rPr>
              <w:color w:val="0000FF" w:themeColor="hyperlink"/>
              <w:sz w:val="18"/>
              <w:szCs w:val="18"/>
            </w:rPr>
          </w:pPr>
          <w:r w:rsidRPr="000E122B">
            <w:rPr>
              <w:rStyle w:val="Hypertextovodkaz"/>
              <w:color w:val="auto"/>
              <w:sz w:val="18"/>
              <w:szCs w:val="18"/>
              <w:u w:val="none"/>
            </w:rPr>
            <w:t>ČSOB a.s., Freyova 35, Praha 9 – č. účtu: 116031183/0300</w:t>
          </w:r>
        </w:p>
      </w:tc>
    </w:tr>
  </w:tbl>
  <w:p w14:paraId="3583EEB6" w14:textId="77777777" w:rsidR="00EF6F4E" w:rsidRDefault="00EF6F4E" w:rsidP="000E12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BD7F" w14:textId="77777777" w:rsidR="004151C1" w:rsidRDefault="004151C1" w:rsidP="00C5572D">
      <w:pPr>
        <w:spacing w:after="0" w:line="240" w:lineRule="auto"/>
      </w:pPr>
      <w:r>
        <w:separator/>
      </w:r>
    </w:p>
  </w:footnote>
  <w:footnote w:type="continuationSeparator" w:id="0">
    <w:p w14:paraId="67CD4513" w14:textId="77777777" w:rsidR="004151C1" w:rsidRDefault="004151C1" w:rsidP="00C5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3"/>
      <w:gridCol w:w="2702"/>
      <w:gridCol w:w="3523"/>
    </w:tblGrid>
    <w:tr w:rsidR="00896CC6" w:rsidRPr="00EF6F4E" w14:paraId="765E5F4B" w14:textId="77777777" w:rsidTr="00896CC6">
      <w:tc>
        <w:tcPr>
          <w:tcW w:w="1819" w:type="pct"/>
          <w:vAlign w:val="center"/>
        </w:tcPr>
        <w:p w14:paraId="5095853F" w14:textId="77777777" w:rsidR="00EF6F4E" w:rsidRPr="00EF6F4E" w:rsidRDefault="00030730" w:rsidP="00896CC6">
          <w:pPr>
            <w:pStyle w:val="Bezmez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303C2B3D" wp14:editId="0F539163">
                <wp:extent cx="2030361" cy="66675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CHP-CR-logo-CZ-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903" cy="66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3" w:type="pct"/>
          <w:vAlign w:val="center"/>
        </w:tcPr>
        <w:p w14:paraId="13258FD1" w14:textId="77777777" w:rsidR="00EF6F4E" w:rsidRPr="00EF6F4E" w:rsidRDefault="00EF6F4E" w:rsidP="00896CC6">
          <w:pPr>
            <w:pStyle w:val="Bezmezer"/>
            <w:rPr>
              <w:b/>
              <w:sz w:val="24"/>
              <w:szCs w:val="24"/>
            </w:rPr>
          </w:pPr>
        </w:p>
      </w:tc>
      <w:tc>
        <w:tcPr>
          <w:tcW w:w="1568" w:type="pct"/>
          <w:vAlign w:val="center"/>
        </w:tcPr>
        <w:p w14:paraId="230AF4CF" w14:textId="77777777" w:rsidR="00EF6F4E" w:rsidRPr="00EF6F4E" w:rsidRDefault="000E122B" w:rsidP="00896CC6">
          <w:pPr>
            <w:pStyle w:val="Bezmezer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13FD4EB8" wp14:editId="77C1B4D1">
                <wp:extent cx="2100531" cy="542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 6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1403" cy="5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7AC5FF" w14:textId="77777777" w:rsidR="00C5572D" w:rsidRPr="00C5572D" w:rsidRDefault="00C5572D" w:rsidP="00896CC6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4FE4"/>
    <w:multiLevelType w:val="multilevel"/>
    <w:tmpl w:val="6D969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B2026"/>
    <w:multiLevelType w:val="hybridMultilevel"/>
    <w:tmpl w:val="C5AC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D4E93"/>
    <w:multiLevelType w:val="hybridMultilevel"/>
    <w:tmpl w:val="5E9AD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840"/>
    <w:multiLevelType w:val="hybridMultilevel"/>
    <w:tmpl w:val="9AA8CF90"/>
    <w:lvl w:ilvl="0" w:tplc="B1269EF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83382">
    <w:abstractNumId w:val="3"/>
  </w:num>
  <w:num w:numId="2" w16cid:durableId="2132434503">
    <w:abstractNumId w:val="2"/>
  </w:num>
  <w:num w:numId="3" w16cid:durableId="11938855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4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2D"/>
    <w:rsid w:val="00007400"/>
    <w:rsid w:val="00030730"/>
    <w:rsid w:val="000442C1"/>
    <w:rsid w:val="0007375E"/>
    <w:rsid w:val="000816F1"/>
    <w:rsid w:val="00081DAE"/>
    <w:rsid w:val="000A2C60"/>
    <w:rsid w:val="000E122B"/>
    <w:rsid w:val="00105168"/>
    <w:rsid w:val="001359EC"/>
    <w:rsid w:val="00194676"/>
    <w:rsid w:val="001B7652"/>
    <w:rsid w:val="001D70BE"/>
    <w:rsid w:val="00236938"/>
    <w:rsid w:val="00253D27"/>
    <w:rsid w:val="002806C3"/>
    <w:rsid w:val="00281725"/>
    <w:rsid w:val="0029721F"/>
    <w:rsid w:val="002A667A"/>
    <w:rsid w:val="00316B62"/>
    <w:rsid w:val="00395E27"/>
    <w:rsid w:val="003C3609"/>
    <w:rsid w:val="003D7B97"/>
    <w:rsid w:val="004151C1"/>
    <w:rsid w:val="004237FD"/>
    <w:rsid w:val="00467D1A"/>
    <w:rsid w:val="0049021E"/>
    <w:rsid w:val="004A172A"/>
    <w:rsid w:val="004B3AB7"/>
    <w:rsid w:val="004B59F8"/>
    <w:rsid w:val="00557D40"/>
    <w:rsid w:val="00601CF3"/>
    <w:rsid w:val="00610D39"/>
    <w:rsid w:val="0062274D"/>
    <w:rsid w:val="006247AF"/>
    <w:rsid w:val="00660B1B"/>
    <w:rsid w:val="006654B9"/>
    <w:rsid w:val="006918D6"/>
    <w:rsid w:val="006B4585"/>
    <w:rsid w:val="006C0E30"/>
    <w:rsid w:val="006C4B89"/>
    <w:rsid w:val="006E34C3"/>
    <w:rsid w:val="007678D1"/>
    <w:rsid w:val="007A7AF5"/>
    <w:rsid w:val="007D7B17"/>
    <w:rsid w:val="007E5A23"/>
    <w:rsid w:val="007F3373"/>
    <w:rsid w:val="00801C46"/>
    <w:rsid w:val="00836ABE"/>
    <w:rsid w:val="00855444"/>
    <w:rsid w:val="00865980"/>
    <w:rsid w:val="00896CC6"/>
    <w:rsid w:val="008A16B1"/>
    <w:rsid w:val="008C136E"/>
    <w:rsid w:val="008E65EF"/>
    <w:rsid w:val="00910BA0"/>
    <w:rsid w:val="00923778"/>
    <w:rsid w:val="00925BFA"/>
    <w:rsid w:val="00943E16"/>
    <w:rsid w:val="00952E8D"/>
    <w:rsid w:val="00953B71"/>
    <w:rsid w:val="00974E99"/>
    <w:rsid w:val="009806F8"/>
    <w:rsid w:val="009A2678"/>
    <w:rsid w:val="009C3F6D"/>
    <w:rsid w:val="009E18DE"/>
    <w:rsid w:val="00A006BE"/>
    <w:rsid w:val="00A2426C"/>
    <w:rsid w:val="00A412BF"/>
    <w:rsid w:val="00A86657"/>
    <w:rsid w:val="00AB0E52"/>
    <w:rsid w:val="00AC3D14"/>
    <w:rsid w:val="00AF0A3E"/>
    <w:rsid w:val="00B12534"/>
    <w:rsid w:val="00B17B9D"/>
    <w:rsid w:val="00B22F60"/>
    <w:rsid w:val="00B275F0"/>
    <w:rsid w:val="00B27A45"/>
    <w:rsid w:val="00B41E48"/>
    <w:rsid w:val="00B6231B"/>
    <w:rsid w:val="00C37FDF"/>
    <w:rsid w:val="00C46753"/>
    <w:rsid w:val="00C5572D"/>
    <w:rsid w:val="00C60967"/>
    <w:rsid w:val="00C81CC3"/>
    <w:rsid w:val="00CB045C"/>
    <w:rsid w:val="00CD2257"/>
    <w:rsid w:val="00D16A2B"/>
    <w:rsid w:val="00D37359"/>
    <w:rsid w:val="00D47CC9"/>
    <w:rsid w:val="00D608A6"/>
    <w:rsid w:val="00D67677"/>
    <w:rsid w:val="00DA0877"/>
    <w:rsid w:val="00DE33C3"/>
    <w:rsid w:val="00E062FD"/>
    <w:rsid w:val="00E56DBB"/>
    <w:rsid w:val="00E753EB"/>
    <w:rsid w:val="00EC523C"/>
    <w:rsid w:val="00EE5AC7"/>
    <w:rsid w:val="00EE60A5"/>
    <w:rsid w:val="00EE6310"/>
    <w:rsid w:val="00EF6F4E"/>
    <w:rsid w:val="00F033B3"/>
    <w:rsid w:val="00F50EF6"/>
    <w:rsid w:val="00F61F66"/>
    <w:rsid w:val="00F67802"/>
    <w:rsid w:val="00F67C64"/>
    <w:rsid w:val="00F900DB"/>
    <w:rsid w:val="00F9158C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01594"/>
  <w15:docId w15:val="{4E38D73C-4451-4086-936D-AA0AFF2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A2B"/>
  </w:style>
  <w:style w:type="paragraph" w:styleId="Nadpis2">
    <w:name w:val="heading 2"/>
    <w:basedOn w:val="Normln"/>
    <w:link w:val="Nadpis2Char"/>
    <w:uiPriority w:val="9"/>
    <w:qFormat/>
    <w:rsid w:val="00610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72D"/>
  </w:style>
  <w:style w:type="paragraph" w:styleId="Zpat">
    <w:name w:val="footer"/>
    <w:basedOn w:val="Normln"/>
    <w:link w:val="ZpatChar"/>
    <w:uiPriority w:val="99"/>
    <w:unhideWhenUsed/>
    <w:rsid w:val="00C5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72D"/>
  </w:style>
  <w:style w:type="paragraph" w:styleId="Textbubliny">
    <w:name w:val="Balloon Text"/>
    <w:basedOn w:val="Normln"/>
    <w:link w:val="TextbublinyChar"/>
    <w:uiPriority w:val="99"/>
    <w:semiHidden/>
    <w:unhideWhenUsed/>
    <w:rsid w:val="00C5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5572D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96C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53EB"/>
    <w:pPr>
      <w:ind w:left="720"/>
      <w:contextualSpacing/>
    </w:pPr>
  </w:style>
  <w:style w:type="character" w:customStyle="1" w:styleId="titulped">
    <w:name w:val="titul_před"/>
    <w:basedOn w:val="Standardnpsmoodstavce"/>
    <w:rsid w:val="009A2678"/>
  </w:style>
  <w:style w:type="character" w:styleId="Siln">
    <w:name w:val="Strong"/>
    <w:uiPriority w:val="22"/>
    <w:qFormat/>
    <w:rsid w:val="000A2C60"/>
    <w:rPr>
      <w:b/>
      <w:bCs/>
    </w:rPr>
  </w:style>
  <w:style w:type="character" w:customStyle="1" w:styleId="fn">
    <w:name w:val="fn"/>
    <w:basedOn w:val="Standardnpsmoodstavce"/>
    <w:rsid w:val="00F50EF6"/>
  </w:style>
  <w:style w:type="character" w:customStyle="1" w:styleId="adr">
    <w:name w:val="adr"/>
    <w:basedOn w:val="Standardnpsmoodstavce"/>
    <w:rsid w:val="00F50EF6"/>
  </w:style>
  <w:style w:type="character" w:customStyle="1" w:styleId="street-address">
    <w:name w:val="street-address"/>
    <w:basedOn w:val="Standardnpsmoodstavce"/>
    <w:rsid w:val="00F50EF6"/>
  </w:style>
  <w:style w:type="character" w:customStyle="1" w:styleId="postal-code">
    <w:name w:val="postal-code"/>
    <w:basedOn w:val="Standardnpsmoodstavce"/>
    <w:rsid w:val="00F50EF6"/>
  </w:style>
  <w:style w:type="character" w:customStyle="1" w:styleId="locality">
    <w:name w:val="locality"/>
    <w:basedOn w:val="Standardnpsmoodstavce"/>
    <w:rsid w:val="00F50EF6"/>
  </w:style>
  <w:style w:type="character" w:customStyle="1" w:styleId="Nadpis2Char">
    <w:name w:val="Nadpis 2 Char"/>
    <w:basedOn w:val="Standardnpsmoodstavce"/>
    <w:link w:val="Nadpis2"/>
    <w:uiPriority w:val="9"/>
    <w:rsid w:val="00610D39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lrzxr">
    <w:name w:val="lrzxr"/>
    <w:basedOn w:val="Standardnpsmoodstavce"/>
    <w:rsid w:val="00EE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873E5-DDD3-4A08-99E3-04A4BE9F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Ivan Souček</cp:lastModifiedBy>
  <cp:revision>2</cp:revision>
  <cp:lastPrinted>2023-10-31T06:00:00Z</cp:lastPrinted>
  <dcterms:created xsi:type="dcterms:W3CDTF">2023-11-03T10:10:00Z</dcterms:created>
  <dcterms:modified xsi:type="dcterms:W3CDTF">2023-11-03T10:10:00Z</dcterms:modified>
</cp:coreProperties>
</file>