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78FB6" w14:textId="77777777" w:rsidR="0066576E" w:rsidRPr="00754EF5" w:rsidRDefault="0066576E" w:rsidP="00F9611E">
      <w:pPr>
        <w:jc w:val="both"/>
        <w:rPr>
          <w:rFonts w:ascii="Calibri" w:eastAsia="Calibri" w:hAnsi="Calibri" w:cs="Calibri"/>
          <w:sz w:val="24"/>
          <w:szCs w:val="24"/>
          <w:u w:val="single"/>
        </w:rPr>
      </w:pPr>
    </w:p>
    <w:p w14:paraId="440127C9" w14:textId="77777777" w:rsidR="0066576E" w:rsidRDefault="0066576E" w:rsidP="00F9611E">
      <w:pPr>
        <w:jc w:val="both"/>
        <w:rPr>
          <w:rFonts w:ascii="Calibri" w:eastAsia="Calibri" w:hAnsi="Calibri" w:cs="Calibri"/>
          <w:sz w:val="24"/>
          <w:szCs w:val="24"/>
        </w:rPr>
      </w:pPr>
    </w:p>
    <w:tbl>
      <w:tblPr>
        <w:tblStyle w:val="Mkatabulky"/>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firstRow="1" w:lastRow="0" w:firstColumn="1" w:lastColumn="0" w:noHBand="0" w:noVBand="1"/>
      </w:tblPr>
      <w:tblGrid>
        <w:gridCol w:w="2263"/>
        <w:gridCol w:w="7365"/>
      </w:tblGrid>
      <w:tr w:rsidR="0066576E" w14:paraId="201684A6" w14:textId="77777777" w:rsidTr="0066576E">
        <w:tc>
          <w:tcPr>
            <w:tcW w:w="2263" w:type="dxa"/>
            <w:vAlign w:val="center"/>
          </w:tcPr>
          <w:p w14:paraId="7B602ECB" w14:textId="77777777" w:rsidR="0066576E" w:rsidRDefault="0066576E" w:rsidP="00E843A8">
            <w:pPr>
              <w:jc w:val="both"/>
              <w:rPr>
                <w:rFonts w:ascii="Calibri" w:eastAsia="Calibri" w:hAnsi="Calibri" w:cs="Calibri"/>
                <w:sz w:val="24"/>
                <w:szCs w:val="24"/>
              </w:rPr>
            </w:pPr>
            <w:r>
              <w:rPr>
                <w:rFonts w:ascii="Calibri" w:hAnsi="Calibri" w:cs="Calibri"/>
                <w:color w:val="0093D6"/>
              </w:rPr>
              <w:t>NÁZEV MATERIÁLU</w:t>
            </w:r>
          </w:p>
        </w:tc>
        <w:tc>
          <w:tcPr>
            <w:tcW w:w="7365" w:type="dxa"/>
            <w:vAlign w:val="center"/>
          </w:tcPr>
          <w:p w14:paraId="33F02DB7" w14:textId="0F6989BD" w:rsidR="0066576E" w:rsidRPr="004A581A" w:rsidRDefault="00EC6CC9" w:rsidP="00695C87">
            <w:pPr>
              <w:jc w:val="both"/>
              <w:rPr>
                <w:rFonts w:ascii="Calibri" w:eastAsia="Calibri" w:hAnsi="Calibri" w:cs="Calibri"/>
                <w:color w:val="404040" w:themeColor="text1" w:themeTint="BF"/>
                <w:sz w:val="24"/>
                <w:szCs w:val="24"/>
              </w:rPr>
            </w:pPr>
            <w:r w:rsidRPr="004A581A">
              <w:rPr>
                <w:rFonts w:ascii="Calibri" w:eastAsia="Calibri" w:hAnsi="Calibri" w:cs="Calibri"/>
                <w:color w:val="404040" w:themeColor="text1" w:themeTint="BF"/>
                <w:sz w:val="24"/>
                <w:szCs w:val="24"/>
              </w:rPr>
              <w:t>Připomínky Svazu průmyslu a dopravy Č</w:t>
            </w:r>
            <w:r w:rsidR="005E574A" w:rsidRPr="004A581A">
              <w:rPr>
                <w:rFonts w:ascii="Calibri" w:eastAsia="Calibri" w:hAnsi="Calibri" w:cs="Calibri"/>
                <w:color w:val="404040" w:themeColor="text1" w:themeTint="BF"/>
                <w:sz w:val="24"/>
                <w:szCs w:val="24"/>
              </w:rPr>
              <w:t>eské republiky</w:t>
            </w:r>
            <w:r w:rsidRPr="004A581A">
              <w:rPr>
                <w:rFonts w:ascii="Calibri" w:eastAsia="Calibri" w:hAnsi="Calibri" w:cs="Calibri"/>
                <w:color w:val="404040" w:themeColor="text1" w:themeTint="BF"/>
                <w:sz w:val="24"/>
                <w:szCs w:val="24"/>
              </w:rPr>
              <w:t xml:space="preserve"> k</w:t>
            </w:r>
            <w:r w:rsidR="00695C87">
              <w:rPr>
                <w:rFonts w:ascii="Calibri" w:eastAsia="Calibri" w:hAnsi="Calibri" w:cs="Calibri"/>
                <w:color w:val="404040" w:themeColor="text1" w:themeTint="BF"/>
                <w:sz w:val="24"/>
                <w:szCs w:val="24"/>
              </w:rPr>
              <w:t xml:space="preserve"> </w:t>
            </w:r>
            <w:r w:rsidR="00446056">
              <w:rPr>
                <w:rFonts w:ascii="Calibri" w:eastAsia="Calibri" w:hAnsi="Calibri" w:cs="Calibri"/>
                <w:color w:val="404040" w:themeColor="text1" w:themeTint="BF"/>
                <w:sz w:val="24"/>
                <w:szCs w:val="24"/>
              </w:rPr>
              <w:t xml:space="preserve">návrhu cenového rozhodnutí </w:t>
            </w:r>
            <w:r w:rsidR="00446056" w:rsidRPr="00446056">
              <w:rPr>
                <w:rFonts w:ascii="Calibri" w:eastAsia="Calibri" w:hAnsi="Calibri" w:cs="Calibri"/>
                <w:color w:val="404040" w:themeColor="text1" w:themeTint="BF"/>
                <w:sz w:val="24"/>
                <w:szCs w:val="24"/>
              </w:rPr>
              <w:t>o regulovaných cenách souvisejících s dodávkou plynu účinného od 1. ledna 2024</w:t>
            </w:r>
            <w:r w:rsidR="00446056">
              <w:rPr>
                <w:rFonts w:ascii="Calibri" w:eastAsia="Calibri" w:hAnsi="Calibri" w:cs="Calibri"/>
                <w:color w:val="404040" w:themeColor="text1" w:themeTint="BF"/>
                <w:sz w:val="24"/>
                <w:szCs w:val="24"/>
              </w:rPr>
              <w:t>.</w:t>
            </w:r>
          </w:p>
        </w:tc>
      </w:tr>
      <w:tr w:rsidR="0066576E" w14:paraId="243A006B" w14:textId="77777777" w:rsidTr="0066576E">
        <w:tc>
          <w:tcPr>
            <w:tcW w:w="2263" w:type="dxa"/>
            <w:vAlign w:val="center"/>
          </w:tcPr>
          <w:p w14:paraId="787ADF47" w14:textId="77777777" w:rsidR="0066576E" w:rsidRDefault="0066576E" w:rsidP="00E843A8">
            <w:pPr>
              <w:jc w:val="both"/>
              <w:rPr>
                <w:rFonts w:ascii="Calibri" w:eastAsia="Calibri" w:hAnsi="Calibri" w:cs="Calibri"/>
                <w:sz w:val="24"/>
                <w:szCs w:val="24"/>
              </w:rPr>
            </w:pPr>
            <w:r>
              <w:rPr>
                <w:rFonts w:ascii="Calibri" w:hAnsi="Calibri" w:cs="Calibri"/>
                <w:color w:val="0093D6"/>
              </w:rPr>
              <w:t>DATUM ZPRACOVÁNÍ</w:t>
            </w:r>
          </w:p>
        </w:tc>
        <w:tc>
          <w:tcPr>
            <w:tcW w:w="7365" w:type="dxa"/>
            <w:vAlign w:val="center"/>
          </w:tcPr>
          <w:p w14:paraId="1CD4A13A" w14:textId="5EF09864" w:rsidR="0066576E" w:rsidRPr="004A581A" w:rsidRDefault="00446056" w:rsidP="00677F81">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14. 11. 2023</w:t>
            </w:r>
          </w:p>
        </w:tc>
      </w:tr>
      <w:tr w:rsidR="0066576E" w14:paraId="08B916E1" w14:textId="77777777" w:rsidTr="0066576E">
        <w:tc>
          <w:tcPr>
            <w:tcW w:w="2263" w:type="dxa"/>
            <w:vAlign w:val="center"/>
          </w:tcPr>
          <w:p w14:paraId="602ED43F" w14:textId="77777777" w:rsidR="0066576E" w:rsidRDefault="0066576E" w:rsidP="00E843A8">
            <w:pPr>
              <w:jc w:val="both"/>
              <w:rPr>
                <w:rFonts w:ascii="Calibri" w:eastAsia="Calibri" w:hAnsi="Calibri" w:cs="Calibri"/>
                <w:sz w:val="24"/>
                <w:szCs w:val="24"/>
              </w:rPr>
            </w:pPr>
            <w:r>
              <w:rPr>
                <w:rFonts w:ascii="Calibri" w:hAnsi="Calibri" w:cs="Calibri"/>
                <w:color w:val="0093D6"/>
              </w:rPr>
              <w:t>KONTAKTNÍ OSOBA</w:t>
            </w:r>
          </w:p>
        </w:tc>
        <w:tc>
          <w:tcPr>
            <w:tcW w:w="7365" w:type="dxa"/>
            <w:vAlign w:val="center"/>
          </w:tcPr>
          <w:p w14:paraId="7F916ABF" w14:textId="77777777" w:rsidR="0066576E" w:rsidRPr="004A581A" w:rsidRDefault="006F15D4" w:rsidP="00E843A8">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Zuzana Sádlová</w:t>
            </w:r>
          </w:p>
        </w:tc>
      </w:tr>
      <w:tr w:rsidR="0066576E" w14:paraId="0FDD0E8F" w14:textId="77777777" w:rsidTr="0066576E">
        <w:tc>
          <w:tcPr>
            <w:tcW w:w="2263" w:type="dxa"/>
            <w:vAlign w:val="center"/>
          </w:tcPr>
          <w:p w14:paraId="3FAF6205" w14:textId="77777777" w:rsidR="0066576E" w:rsidRDefault="0066576E" w:rsidP="00E843A8">
            <w:pPr>
              <w:jc w:val="both"/>
              <w:rPr>
                <w:rFonts w:ascii="Calibri" w:eastAsia="Calibri" w:hAnsi="Calibri" w:cs="Calibri"/>
                <w:sz w:val="24"/>
                <w:szCs w:val="24"/>
              </w:rPr>
            </w:pPr>
            <w:r>
              <w:rPr>
                <w:rFonts w:ascii="Calibri" w:hAnsi="Calibri" w:cs="Calibri"/>
                <w:color w:val="0093D6"/>
              </w:rPr>
              <w:t>TELEFON</w:t>
            </w:r>
          </w:p>
        </w:tc>
        <w:tc>
          <w:tcPr>
            <w:tcW w:w="7365" w:type="dxa"/>
            <w:vAlign w:val="center"/>
          </w:tcPr>
          <w:p w14:paraId="46504111" w14:textId="77777777" w:rsidR="0066576E" w:rsidRPr="004A581A" w:rsidRDefault="006F15D4" w:rsidP="00E843A8">
            <w:pPr>
              <w:jc w:val="both"/>
              <w:rPr>
                <w:rFonts w:ascii="Calibri" w:eastAsia="Calibri" w:hAnsi="Calibri" w:cs="Calibri"/>
                <w:color w:val="404040" w:themeColor="text1" w:themeTint="BF"/>
                <w:sz w:val="24"/>
                <w:szCs w:val="24"/>
              </w:rPr>
            </w:pPr>
            <w:r w:rsidRPr="006F15D4">
              <w:rPr>
                <w:rFonts w:ascii="Calibri" w:eastAsia="Calibri" w:hAnsi="Calibri" w:cs="Calibri"/>
                <w:color w:val="404040" w:themeColor="text1" w:themeTint="BF"/>
                <w:sz w:val="24"/>
                <w:szCs w:val="24"/>
              </w:rPr>
              <w:t>225 279 204</w:t>
            </w:r>
          </w:p>
        </w:tc>
      </w:tr>
      <w:tr w:rsidR="0066576E" w14:paraId="780DA9E7" w14:textId="77777777" w:rsidTr="0066576E">
        <w:tc>
          <w:tcPr>
            <w:tcW w:w="2263" w:type="dxa"/>
            <w:vAlign w:val="center"/>
          </w:tcPr>
          <w:p w14:paraId="2E842E36" w14:textId="77777777" w:rsidR="0066576E" w:rsidRDefault="0066576E" w:rsidP="00E843A8">
            <w:pPr>
              <w:jc w:val="both"/>
              <w:rPr>
                <w:rFonts w:ascii="Calibri" w:eastAsia="Calibri" w:hAnsi="Calibri" w:cs="Calibri"/>
                <w:sz w:val="24"/>
                <w:szCs w:val="24"/>
              </w:rPr>
            </w:pPr>
            <w:r w:rsidRPr="00C8799F">
              <w:rPr>
                <w:rFonts w:ascii="Calibri" w:hAnsi="Calibri" w:cs="Calibri"/>
                <w:color w:val="0093D6"/>
              </w:rPr>
              <w:t>E-</w:t>
            </w:r>
            <w:r>
              <w:rPr>
                <w:rFonts w:ascii="Calibri" w:hAnsi="Calibri" w:cs="Calibri"/>
                <w:color w:val="0093D6"/>
              </w:rPr>
              <w:t>MAIL</w:t>
            </w:r>
          </w:p>
        </w:tc>
        <w:tc>
          <w:tcPr>
            <w:tcW w:w="7365" w:type="dxa"/>
            <w:vAlign w:val="center"/>
          </w:tcPr>
          <w:p w14:paraId="1FED922E" w14:textId="77777777" w:rsidR="0066576E" w:rsidRPr="004A581A" w:rsidRDefault="00CF2926" w:rsidP="00E843A8">
            <w:pPr>
              <w:jc w:val="both"/>
              <w:rPr>
                <w:rFonts w:ascii="Calibri" w:eastAsia="Calibri" w:hAnsi="Calibri" w:cs="Calibri"/>
                <w:color w:val="404040" w:themeColor="text1" w:themeTint="BF"/>
                <w:sz w:val="24"/>
                <w:szCs w:val="24"/>
              </w:rPr>
            </w:pPr>
            <w:hyperlink r:id="rId8" w:history="1">
              <w:r w:rsidR="006F15D4" w:rsidRPr="006F15D4">
                <w:rPr>
                  <w:rFonts w:ascii="Calibri" w:eastAsia="Calibri" w:hAnsi="Calibri" w:cs="Calibri"/>
                  <w:color w:val="404040" w:themeColor="text1" w:themeTint="BF"/>
                  <w:sz w:val="24"/>
                  <w:szCs w:val="24"/>
                </w:rPr>
                <w:t>zsadlova@spcr.cz</w:t>
              </w:r>
            </w:hyperlink>
            <w:r w:rsidR="006F15D4">
              <w:rPr>
                <w:rFonts w:ascii="Calibri" w:eastAsia="Calibri" w:hAnsi="Calibri" w:cs="Calibri"/>
                <w:color w:val="404040" w:themeColor="text1" w:themeTint="BF"/>
                <w:sz w:val="24"/>
                <w:szCs w:val="24"/>
              </w:rPr>
              <w:t xml:space="preserve"> </w:t>
            </w:r>
            <w:r w:rsidR="006F15D4">
              <w:t xml:space="preserve">  </w:t>
            </w:r>
          </w:p>
        </w:tc>
      </w:tr>
    </w:tbl>
    <w:p w14:paraId="3F3BEFCA" w14:textId="77777777" w:rsidR="009A475D" w:rsidRDefault="009A475D" w:rsidP="009A475D">
      <w:pPr>
        <w:spacing w:after="0" w:line="240" w:lineRule="auto"/>
        <w:jc w:val="both"/>
        <w:rPr>
          <w:lang w:eastAsia="cs-CZ"/>
        </w:rPr>
      </w:pPr>
    </w:p>
    <w:p w14:paraId="796AEF5F" w14:textId="609E754F" w:rsidR="006D67FE" w:rsidRPr="00A3649A" w:rsidRDefault="009A475D" w:rsidP="009B7617">
      <w:pPr>
        <w:spacing w:after="160"/>
        <w:jc w:val="both"/>
        <w:rPr>
          <w:rFonts w:cstheme="minorHAnsi"/>
          <w:color w:val="404040" w:themeColor="text1" w:themeTint="BF"/>
          <w:lang w:eastAsia="cs-CZ"/>
        </w:rPr>
      </w:pPr>
      <w:r w:rsidRPr="00A3649A">
        <w:rPr>
          <w:rFonts w:cstheme="minorHAnsi"/>
          <w:color w:val="404040" w:themeColor="text1" w:themeTint="BF"/>
          <w:lang w:eastAsia="cs-CZ"/>
        </w:rPr>
        <w:t xml:space="preserve">Svaz průmyslu a dopravy ČR (SP ČR) </w:t>
      </w:r>
      <w:r w:rsidR="00446056" w:rsidRPr="00A3649A">
        <w:rPr>
          <w:rFonts w:cstheme="minorHAnsi"/>
          <w:color w:val="404040" w:themeColor="text1" w:themeTint="BF"/>
          <w:lang w:eastAsia="cs-CZ"/>
        </w:rPr>
        <w:t>nesouhlasí s nárůstem regulovaných složek cen plynu, jak byly Energetickým regulačním úřad</w:t>
      </w:r>
      <w:r w:rsidR="00695C87">
        <w:rPr>
          <w:rFonts w:cstheme="minorHAnsi"/>
          <w:color w:val="404040" w:themeColor="text1" w:themeTint="BF"/>
          <w:lang w:eastAsia="cs-CZ"/>
        </w:rPr>
        <w:t>em (ERÚ) předloženy do veřejného konzultačního procesu</w:t>
      </w:r>
      <w:r w:rsidR="00446056" w:rsidRPr="00A3649A">
        <w:rPr>
          <w:rFonts w:cstheme="minorHAnsi"/>
          <w:color w:val="404040" w:themeColor="text1" w:themeTint="BF"/>
          <w:lang w:eastAsia="cs-CZ"/>
        </w:rPr>
        <w:t xml:space="preserve"> dne 3</w:t>
      </w:r>
      <w:r w:rsidR="009C5C58">
        <w:rPr>
          <w:rFonts w:cstheme="minorHAnsi"/>
          <w:color w:val="404040" w:themeColor="text1" w:themeTint="BF"/>
          <w:lang w:eastAsia="cs-CZ"/>
        </w:rPr>
        <w:t>0</w:t>
      </w:r>
      <w:r w:rsidR="00446056" w:rsidRPr="00A3649A">
        <w:rPr>
          <w:rFonts w:cstheme="minorHAnsi"/>
          <w:color w:val="404040" w:themeColor="text1" w:themeTint="BF"/>
          <w:lang w:eastAsia="cs-CZ"/>
        </w:rPr>
        <w:t>. 10. 2023.</w:t>
      </w:r>
    </w:p>
    <w:p w14:paraId="5F0C7FC2" w14:textId="1B4AAC41" w:rsidR="009C5C58" w:rsidRDefault="009C5C58" w:rsidP="009B7617">
      <w:pPr>
        <w:spacing w:after="160"/>
        <w:jc w:val="both"/>
        <w:rPr>
          <w:rFonts w:cstheme="minorHAnsi"/>
          <w:color w:val="404040" w:themeColor="text1" w:themeTint="BF"/>
          <w:lang w:eastAsia="cs-CZ"/>
        </w:rPr>
      </w:pPr>
      <w:r>
        <w:rPr>
          <w:rFonts w:cstheme="minorHAnsi"/>
          <w:color w:val="404040" w:themeColor="text1" w:themeTint="BF"/>
          <w:lang w:eastAsia="cs-CZ"/>
        </w:rPr>
        <w:t xml:space="preserve">Průmysl v ČR je významně zasažen ochlazením ekonomiky, skokový nárůst regulovaných složek ceny tak dále ohrozí jejich konkurenceschopnost. Cenové rozhodnutí vůbec nebere v potaz situaci v okolních zemích, například v Německu, kde je trend přesně opačný (nárůst síťových poplatků je </w:t>
      </w:r>
      <w:proofErr w:type="spellStart"/>
      <w:r>
        <w:rPr>
          <w:rFonts w:cstheme="minorHAnsi"/>
          <w:color w:val="404040" w:themeColor="text1" w:themeTint="BF"/>
          <w:lang w:eastAsia="cs-CZ"/>
        </w:rPr>
        <w:t>mitigován</w:t>
      </w:r>
      <w:proofErr w:type="spellEnd"/>
      <w:r>
        <w:rPr>
          <w:rFonts w:cstheme="minorHAnsi"/>
          <w:color w:val="404040" w:themeColor="text1" w:themeTint="BF"/>
          <w:lang w:eastAsia="cs-CZ"/>
        </w:rPr>
        <w:t>).</w:t>
      </w:r>
    </w:p>
    <w:p w14:paraId="06813FB6" w14:textId="63012120" w:rsidR="00D82A68" w:rsidRDefault="00695C87" w:rsidP="009B7617">
      <w:pPr>
        <w:spacing w:after="160"/>
        <w:jc w:val="both"/>
        <w:rPr>
          <w:rFonts w:cstheme="minorHAnsi"/>
          <w:b/>
          <w:color w:val="404040" w:themeColor="text1" w:themeTint="BF"/>
          <w:lang w:eastAsia="cs-CZ"/>
        </w:rPr>
      </w:pPr>
      <w:r>
        <w:rPr>
          <w:rFonts w:cstheme="minorHAnsi"/>
          <w:b/>
          <w:color w:val="404040" w:themeColor="text1" w:themeTint="BF"/>
          <w:lang w:eastAsia="cs-CZ"/>
        </w:rPr>
        <w:t>Žádáme</w:t>
      </w:r>
      <w:r w:rsidR="00D82A68" w:rsidRPr="001B006A">
        <w:rPr>
          <w:rFonts w:cstheme="minorHAnsi"/>
          <w:b/>
          <w:color w:val="404040" w:themeColor="text1" w:themeTint="BF"/>
          <w:lang w:eastAsia="cs-CZ"/>
        </w:rPr>
        <w:t xml:space="preserve"> ze strany ERÚ </w:t>
      </w:r>
      <w:r>
        <w:rPr>
          <w:rFonts w:cstheme="minorHAnsi"/>
          <w:b/>
          <w:color w:val="404040" w:themeColor="text1" w:themeTint="BF"/>
          <w:lang w:eastAsia="cs-CZ"/>
        </w:rPr>
        <w:t>o</w:t>
      </w:r>
      <w:r w:rsidR="00AB47A9">
        <w:rPr>
          <w:rFonts w:cstheme="minorHAnsi"/>
          <w:b/>
          <w:color w:val="404040" w:themeColor="text1" w:themeTint="BF"/>
          <w:lang w:eastAsia="cs-CZ"/>
        </w:rPr>
        <w:t xml:space="preserve"> detailní vysvětlení</w:t>
      </w:r>
      <w:r w:rsidR="00D82A68" w:rsidRPr="001B006A">
        <w:rPr>
          <w:rFonts w:cstheme="minorHAnsi"/>
          <w:b/>
          <w:color w:val="404040" w:themeColor="text1" w:themeTint="BF"/>
          <w:lang w:eastAsia="cs-CZ"/>
        </w:rPr>
        <w:t>, proč dochází v době snížení cen zemního plynu k tak významnému nárůstu jak u přepravy, tak u distribuce. Dle informací ERÚ je předpokládaný nárůst regulovaných složek ceny pro maloodběr a domácnosti cca 39 %, pro velkoodběratelé pak 42</w:t>
      </w:r>
      <w:r w:rsidR="00414439" w:rsidRPr="001B006A">
        <w:rPr>
          <w:rFonts w:cstheme="minorHAnsi"/>
          <w:b/>
          <w:color w:val="404040" w:themeColor="text1" w:themeTint="BF"/>
          <w:lang w:eastAsia="cs-CZ"/>
        </w:rPr>
        <w:t>,</w:t>
      </w:r>
      <w:r w:rsidR="00D82A68" w:rsidRPr="001B006A">
        <w:rPr>
          <w:rFonts w:cstheme="minorHAnsi"/>
          <w:b/>
          <w:color w:val="404040" w:themeColor="text1" w:themeTint="BF"/>
          <w:lang w:eastAsia="cs-CZ"/>
        </w:rPr>
        <w:t>5 %.</w:t>
      </w:r>
      <w:r w:rsidR="009B7617" w:rsidRPr="001B006A">
        <w:rPr>
          <w:rFonts w:cstheme="minorHAnsi"/>
          <w:b/>
          <w:color w:val="404040" w:themeColor="text1" w:themeTint="BF"/>
          <w:lang w:eastAsia="cs-CZ"/>
        </w:rPr>
        <w:t xml:space="preserve"> Toto má významný dopad na konkurenceschopnost českého průmyslu, navíc takto vysoký nárůst není vzhledem k výraznému poklesu cen plynu nijak odůvodněn. Žádáme proto o vysvětlení a omezení nárůstu</w:t>
      </w:r>
      <w:r w:rsidR="00BB22B5">
        <w:rPr>
          <w:rFonts w:cstheme="minorHAnsi"/>
          <w:b/>
          <w:color w:val="404040" w:themeColor="text1" w:themeTint="BF"/>
          <w:lang w:eastAsia="cs-CZ"/>
        </w:rPr>
        <w:t xml:space="preserve"> ze strany vlády a ERÚ</w:t>
      </w:r>
      <w:r w:rsidR="009B7617" w:rsidRPr="001B006A">
        <w:rPr>
          <w:rFonts w:cstheme="minorHAnsi"/>
          <w:b/>
          <w:color w:val="404040" w:themeColor="text1" w:themeTint="BF"/>
          <w:lang w:eastAsia="cs-CZ"/>
        </w:rPr>
        <w:t>.</w:t>
      </w:r>
    </w:p>
    <w:p w14:paraId="42746ACB" w14:textId="00FC2E9E" w:rsidR="00BB22B5" w:rsidRPr="001B006A" w:rsidRDefault="00BB22B5" w:rsidP="009B7617">
      <w:pPr>
        <w:spacing w:after="160"/>
        <w:jc w:val="both"/>
        <w:rPr>
          <w:rFonts w:cstheme="minorHAnsi"/>
          <w:b/>
          <w:color w:val="404040" w:themeColor="text1" w:themeTint="BF"/>
          <w:lang w:eastAsia="cs-CZ"/>
        </w:rPr>
      </w:pPr>
      <w:r>
        <w:rPr>
          <w:rFonts w:cstheme="minorHAnsi"/>
          <w:b/>
          <w:color w:val="404040" w:themeColor="text1" w:themeTint="BF"/>
          <w:lang w:eastAsia="cs-CZ"/>
        </w:rPr>
        <w:t>Zároveň je nutné přistoupit k takovým opatřením, aby jimi nevznikal dluh na straně regulovaných subjektů, který by poté zřejmě působil jako proinflační faktor v následujících letech. Ke vzoru dáváme nedávné kroky německé Spolkové vlády, tj. vložení financí ze státního fondu.</w:t>
      </w:r>
    </w:p>
    <w:p w14:paraId="14338597" w14:textId="77777777" w:rsidR="00695C87" w:rsidRDefault="00695C87" w:rsidP="009B7617">
      <w:pPr>
        <w:spacing w:after="160"/>
        <w:jc w:val="both"/>
        <w:rPr>
          <w:rFonts w:eastAsia="Times New Roman" w:cstheme="minorHAnsi"/>
          <w:caps/>
          <w:color w:val="0093D6"/>
          <w:lang w:eastAsia="cs-CZ"/>
        </w:rPr>
      </w:pPr>
    </w:p>
    <w:p w14:paraId="0DF65221" w14:textId="22F8995F" w:rsidR="0070290D" w:rsidRPr="00A3649A" w:rsidRDefault="00695C87" w:rsidP="009B7617">
      <w:pPr>
        <w:spacing w:after="160"/>
        <w:jc w:val="both"/>
        <w:rPr>
          <w:rFonts w:eastAsia="Times New Roman" w:cstheme="minorHAnsi"/>
          <w:caps/>
          <w:color w:val="0093D6"/>
          <w:lang w:eastAsia="cs-CZ"/>
        </w:rPr>
      </w:pPr>
      <w:r>
        <w:rPr>
          <w:rFonts w:eastAsia="Times New Roman" w:cstheme="minorHAnsi"/>
          <w:caps/>
          <w:color w:val="0093D6"/>
          <w:lang w:eastAsia="cs-CZ"/>
        </w:rPr>
        <w:t xml:space="preserve">konkrétní </w:t>
      </w:r>
      <w:r w:rsidR="00C97AE0" w:rsidRPr="00A3649A">
        <w:rPr>
          <w:rFonts w:eastAsia="Times New Roman" w:cstheme="minorHAnsi"/>
          <w:caps/>
          <w:color w:val="0093D6"/>
          <w:lang w:eastAsia="cs-CZ"/>
        </w:rPr>
        <w:t>připomínky k návrhu cenového rozhodnutí ERÚ O REGULOVANÝCH CENÁCH SOUVISEJÍCÍCH S DODÁVKOU PLYNU</w:t>
      </w:r>
    </w:p>
    <w:p w14:paraId="3DB971B7" w14:textId="09738B0B" w:rsidR="006B74EC" w:rsidRPr="00A3649A" w:rsidRDefault="006B74EC" w:rsidP="009B7617">
      <w:pPr>
        <w:pStyle w:val="Odstavecseseznamem"/>
        <w:numPr>
          <w:ilvl w:val="0"/>
          <w:numId w:val="5"/>
        </w:numPr>
        <w:spacing w:after="160"/>
        <w:contextualSpacing w:val="0"/>
        <w:jc w:val="both"/>
        <w:rPr>
          <w:rFonts w:cstheme="minorHAnsi"/>
          <w:b/>
          <w:color w:val="404040" w:themeColor="text1" w:themeTint="BF"/>
          <w:u w:val="single"/>
          <w:lang w:eastAsia="cs-CZ"/>
        </w:rPr>
      </w:pPr>
      <w:r w:rsidRPr="00A3649A">
        <w:rPr>
          <w:rFonts w:cstheme="minorHAnsi"/>
          <w:b/>
          <w:color w:val="404040" w:themeColor="text1" w:themeTint="BF"/>
          <w:u w:val="single"/>
          <w:lang w:eastAsia="cs-CZ"/>
        </w:rPr>
        <w:t>K</w:t>
      </w:r>
      <w:r w:rsidR="00C97AE0" w:rsidRPr="00A3649A">
        <w:rPr>
          <w:rFonts w:cstheme="minorHAnsi"/>
          <w:b/>
          <w:color w:val="404040" w:themeColor="text1" w:themeTint="BF"/>
          <w:u w:val="single"/>
          <w:lang w:eastAsia="cs-CZ"/>
        </w:rPr>
        <w:t> nárůstu ceny přepravy plynu</w:t>
      </w:r>
      <w:r w:rsidR="00B63CF0" w:rsidDel="00B63CF0">
        <w:rPr>
          <w:rFonts w:cstheme="minorHAnsi"/>
          <w:b/>
          <w:color w:val="404040" w:themeColor="text1" w:themeTint="BF"/>
          <w:u w:val="single"/>
          <w:lang w:eastAsia="cs-CZ"/>
        </w:rPr>
        <w:t xml:space="preserve"> </w:t>
      </w:r>
    </w:p>
    <w:p w14:paraId="3E08E77B" w14:textId="1BCAB5D8" w:rsidR="003313A3" w:rsidRDefault="006C3611" w:rsidP="00D024BE">
      <w:pPr>
        <w:pStyle w:val="Odstavecseseznamem"/>
        <w:spacing w:after="160"/>
        <w:ind w:left="0"/>
        <w:contextualSpacing w:val="0"/>
        <w:jc w:val="both"/>
        <w:rPr>
          <w:rFonts w:cstheme="minorHAnsi"/>
          <w:color w:val="404040" w:themeColor="text1" w:themeTint="BF"/>
          <w:lang w:eastAsia="cs-CZ"/>
        </w:rPr>
      </w:pPr>
      <w:r w:rsidRPr="00A3649A">
        <w:rPr>
          <w:rFonts w:cstheme="minorHAnsi"/>
          <w:color w:val="404040" w:themeColor="text1" w:themeTint="BF"/>
          <w:lang w:eastAsia="cs-CZ"/>
        </w:rPr>
        <w:t>Vzhledem k významnému poklesu cen zemního plynu nerozumíme vysokému nárůstu regulovaných složek přepravy zemního plynu. Rovněž nám není zřejmé, na základě jakých kritérií a proč ERÚ ceny takto významně navýšilo.</w:t>
      </w:r>
      <w:r w:rsidR="003313A3">
        <w:rPr>
          <w:rFonts w:cstheme="minorHAnsi"/>
          <w:color w:val="404040" w:themeColor="text1" w:themeTint="BF"/>
          <w:lang w:eastAsia="cs-CZ"/>
        </w:rPr>
        <w:t xml:space="preserve"> Změna alokačních klíčů mezi tranzit a vnitrostátní přepravu uprostřed regulační periody</w:t>
      </w:r>
      <w:r w:rsidR="00B63CF0">
        <w:rPr>
          <w:rFonts w:cstheme="minorHAnsi"/>
          <w:color w:val="404040" w:themeColor="text1" w:themeTint="BF"/>
          <w:lang w:eastAsia="cs-CZ"/>
        </w:rPr>
        <w:t>, která by vedla k takto vysokému nárůstu,</w:t>
      </w:r>
      <w:r w:rsidR="003313A3">
        <w:rPr>
          <w:rFonts w:cstheme="minorHAnsi"/>
          <w:color w:val="404040" w:themeColor="text1" w:themeTint="BF"/>
          <w:lang w:eastAsia="cs-CZ"/>
        </w:rPr>
        <w:t xml:space="preserve"> </w:t>
      </w:r>
      <w:r w:rsidR="00B63CF0">
        <w:rPr>
          <w:rFonts w:cstheme="minorHAnsi"/>
          <w:color w:val="404040" w:themeColor="text1" w:themeTint="BF"/>
          <w:lang w:eastAsia="cs-CZ"/>
        </w:rPr>
        <w:t>z pohledu Svazu průmyslu a dopravy není zcela vhodná</w:t>
      </w:r>
      <w:r w:rsidR="003313A3">
        <w:rPr>
          <w:rFonts w:cstheme="minorHAnsi"/>
          <w:color w:val="404040" w:themeColor="text1" w:themeTint="BF"/>
          <w:lang w:eastAsia="cs-CZ"/>
        </w:rPr>
        <w:t>.</w:t>
      </w:r>
    </w:p>
    <w:p w14:paraId="6AD41412" w14:textId="60208A5E" w:rsidR="002A7500" w:rsidRPr="00CB6E48" w:rsidRDefault="006C3611" w:rsidP="00CB6E48">
      <w:pPr>
        <w:spacing w:after="160"/>
        <w:jc w:val="both"/>
        <w:rPr>
          <w:rFonts w:cstheme="minorHAnsi"/>
          <w:color w:val="404040" w:themeColor="text1" w:themeTint="BF"/>
          <w:lang w:eastAsia="cs-CZ"/>
        </w:rPr>
      </w:pPr>
      <w:r w:rsidRPr="00CB6E48">
        <w:rPr>
          <w:rFonts w:cstheme="minorHAnsi"/>
          <w:b/>
          <w:color w:val="404040" w:themeColor="text1" w:themeTint="BF"/>
          <w:lang w:eastAsia="cs-CZ"/>
        </w:rPr>
        <w:t>Žádáme proto</w:t>
      </w:r>
      <w:r w:rsidR="00B63CF0" w:rsidRPr="00CB6E48">
        <w:rPr>
          <w:rFonts w:cstheme="minorHAnsi"/>
          <w:b/>
          <w:color w:val="404040" w:themeColor="text1" w:themeTint="BF"/>
          <w:lang w:eastAsia="cs-CZ"/>
        </w:rPr>
        <w:t xml:space="preserve"> ERÚ a vládu ČR</w:t>
      </w:r>
      <w:r w:rsidRPr="00CB6E48">
        <w:rPr>
          <w:rFonts w:cstheme="minorHAnsi"/>
          <w:b/>
          <w:color w:val="404040" w:themeColor="text1" w:themeTint="BF"/>
          <w:lang w:eastAsia="cs-CZ"/>
        </w:rPr>
        <w:t xml:space="preserve"> o</w:t>
      </w:r>
      <w:r w:rsidR="00CB6E48" w:rsidRPr="00CB6E48">
        <w:rPr>
          <w:rFonts w:cstheme="minorHAnsi"/>
          <w:b/>
          <w:color w:val="404040" w:themeColor="text1" w:themeTint="BF"/>
          <w:lang w:eastAsia="cs-CZ"/>
        </w:rPr>
        <w:t xml:space="preserve"> vysvětlení a</w:t>
      </w:r>
      <w:r w:rsidRPr="00CB6E48">
        <w:rPr>
          <w:rFonts w:cstheme="minorHAnsi"/>
          <w:b/>
          <w:color w:val="404040" w:themeColor="text1" w:themeTint="BF"/>
          <w:lang w:eastAsia="cs-CZ"/>
        </w:rPr>
        <w:t xml:space="preserve"> </w:t>
      </w:r>
      <w:proofErr w:type="spellStart"/>
      <w:r w:rsidRPr="00CB6E48">
        <w:rPr>
          <w:rFonts w:cstheme="minorHAnsi"/>
          <w:b/>
          <w:color w:val="404040" w:themeColor="text1" w:themeTint="BF"/>
          <w:lang w:eastAsia="cs-CZ"/>
        </w:rPr>
        <w:t>mitigaci</w:t>
      </w:r>
      <w:proofErr w:type="spellEnd"/>
      <w:r w:rsidRPr="00CB6E48">
        <w:rPr>
          <w:rFonts w:cstheme="minorHAnsi"/>
          <w:b/>
          <w:color w:val="404040" w:themeColor="text1" w:themeTint="BF"/>
          <w:lang w:eastAsia="cs-CZ"/>
        </w:rPr>
        <w:t xml:space="preserve"> nárůstu u cen</w:t>
      </w:r>
      <w:r w:rsidR="003551D4">
        <w:rPr>
          <w:rFonts w:cstheme="minorHAnsi"/>
          <w:b/>
          <w:color w:val="404040" w:themeColor="text1" w:themeTint="BF"/>
          <w:lang w:eastAsia="cs-CZ"/>
        </w:rPr>
        <w:t xml:space="preserve"> přepravy</w:t>
      </w:r>
      <w:r w:rsidRPr="00CB6E48">
        <w:rPr>
          <w:rFonts w:cstheme="minorHAnsi"/>
          <w:b/>
          <w:color w:val="404040" w:themeColor="text1" w:themeTint="BF"/>
          <w:lang w:eastAsia="cs-CZ"/>
        </w:rPr>
        <w:t xml:space="preserve"> zemního plynu</w:t>
      </w:r>
      <w:r w:rsidRPr="00CB6E48">
        <w:rPr>
          <w:rFonts w:cstheme="minorHAnsi"/>
          <w:color w:val="404040" w:themeColor="text1" w:themeTint="BF"/>
          <w:lang w:eastAsia="cs-CZ"/>
        </w:rPr>
        <w:t>, který má významný dopad na sektor elektroenergetiky (dopad do cen výroby elektřiny), sklářského průmyslu, chemického průmyslu a dalších.</w:t>
      </w:r>
      <w:r w:rsidR="003313A3" w:rsidRPr="00CB6E48">
        <w:rPr>
          <w:rFonts w:cstheme="minorHAnsi"/>
          <w:color w:val="404040" w:themeColor="text1" w:themeTint="BF"/>
          <w:lang w:eastAsia="cs-CZ"/>
        </w:rPr>
        <w:t xml:space="preserve"> </w:t>
      </w:r>
      <w:r w:rsidR="002A7500" w:rsidRPr="00CB6E48">
        <w:rPr>
          <w:rFonts w:cstheme="minorHAnsi"/>
          <w:color w:val="404040" w:themeColor="text1" w:themeTint="BF"/>
          <w:lang w:eastAsia="cs-CZ"/>
        </w:rPr>
        <w:t>Ideálně pak o ponechání ceny za rezervovanou pevnou přepravní kapacitu na dobu neurčitou CPPZ-n  v bodu (10.3) a ceny za službu přepravy plynu přes souhrn předávacích míst mezi přepravní a distribuční soustavou v bodu (11.1) návrhu cenového rozhodnutí na současné úrovni.</w:t>
      </w:r>
    </w:p>
    <w:p w14:paraId="2409C9A9" w14:textId="77777777" w:rsidR="00C97AE0" w:rsidRPr="00CB6E48" w:rsidRDefault="00C97AE0" w:rsidP="00CB6E48">
      <w:pPr>
        <w:spacing w:after="160"/>
        <w:jc w:val="both"/>
        <w:rPr>
          <w:rFonts w:cstheme="minorHAnsi"/>
          <w:color w:val="404040" w:themeColor="text1" w:themeTint="BF"/>
          <w:lang w:eastAsia="cs-CZ"/>
        </w:rPr>
      </w:pPr>
      <w:r w:rsidRPr="00CB6E48">
        <w:rPr>
          <w:rFonts w:cstheme="minorHAnsi"/>
          <w:color w:val="404040" w:themeColor="text1" w:themeTint="BF"/>
          <w:u w:val="single"/>
          <w:lang w:eastAsia="cs-CZ"/>
        </w:rPr>
        <w:lastRenderedPageBreak/>
        <w:t>Odůvodnění</w:t>
      </w:r>
      <w:r w:rsidRPr="00CB6E48">
        <w:rPr>
          <w:rFonts w:cstheme="minorHAnsi"/>
          <w:color w:val="404040" w:themeColor="text1" w:themeTint="BF"/>
          <w:lang w:eastAsia="cs-CZ"/>
        </w:rPr>
        <w:t>:</w:t>
      </w:r>
    </w:p>
    <w:p w14:paraId="4ACBBB65" w14:textId="1C6C737E" w:rsidR="009B7617" w:rsidRPr="00CB6E48" w:rsidRDefault="008329B2"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Cena za rezervovanou pevnou přepravní kapacitu (Kč/měsíc) pro distributory plynu uvedená v bodě (1.11) návrhu CR se pro jednotlivé distributory meziročně zvyšuje o 115 až 117 %. Obdobně v případě ceny za rezervovanou pevnou přepravní kapacitu na dobu neurčitou pro zákazníky přímo připojené k přepravní soustavě uvedené v bodu (</w:t>
      </w:r>
      <w:proofErr w:type="gramStart"/>
      <w:r w:rsidRPr="00CB6E48">
        <w:rPr>
          <w:rFonts w:cstheme="minorHAnsi"/>
          <w:color w:val="404040" w:themeColor="text1" w:themeTint="BF"/>
          <w:lang w:eastAsia="cs-CZ"/>
        </w:rPr>
        <w:t>10.3.) návrhu</w:t>
      </w:r>
      <w:proofErr w:type="gramEnd"/>
      <w:r w:rsidRPr="00CB6E48">
        <w:rPr>
          <w:rFonts w:cstheme="minorHAnsi"/>
          <w:color w:val="404040" w:themeColor="text1" w:themeTint="BF"/>
          <w:lang w:eastAsia="cs-CZ"/>
        </w:rPr>
        <w:t xml:space="preserve"> CR dochází k meziročnímu nárůstu dokonce o 124 %. </w:t>
      </w:r>
    </w:p>
    <w:p w14:paraId="1E7A9124" w14:textId="7868C6F0" w:rsidR="006B74EC" w:rsidRPr="00CB6E48" w:rsidRDefault="008329B2"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 xml:space="preserve">Oproti roku </w:t>
      </w:r>
      <w:r w:rsidR="0092309D" w:rsidRPr="00CB6E48">
        <w:rPr>
          <w:rFonts w:cstheme="minorHAnsi"/>
          <w:color w:val="404040" w:themeColor="text1" w:themeTint="BF"/>
          <w:lang w:eastAsia="cs-CZ"/>
        </w:rPr>
        <w:t>2021 j</w:t>
      </w:r>
      <w:r w:rsidRPr="00CB6E48">
        <w:rPr>
          <w:rFonts w:cstheme="minorHAnsi"/>
          <w:color w:val="404040" w:themeColor="text1" w:themeTint="BF"/>
          <w:lang w:eastAsia="cs-CZ"/>
        </w:rPr>
        <w:t>e navýšení</w:t>
      </w:r>
      <w:r w:rsidR="009B7617" w:rsidRPr="00CB6E48">
        <w:rPr>
          <w:rFonts w:cstheme="minorHAnsi"/>
          <w:color w:val="404040" w:themeColor="text1" w:themeTint="BF"/>
          <w:lang w:eastAsia="cs-CZ"/>
        </w:rPr>
        <w:t xml:space="preserve"> pro konečné zákazníky</w:t>
      </w:r>
      <w:r w:rsidRPr="00CB6E48">
        <w:rPr>
          <w:rFonts w:cstheme="minorHAnsi"/>
          <w:color w:val="404040" w:themeColor="text1" w:themeTint="BF"/>
          <w:lang w:eastAsia="cs-CZ"/>
        </w:rPr>
        <w:t xml:space="preserve"> ještě větší, viz graf:</w:t>
      </w:r>
    </w:p>
    <w:p w14:paraId="4218D536" w14:textId="29F8D052" w:rsidR="00C97AE0" w:rsidRPr="00A3649A" w:rsidRDefault="0092309D" w:rsidP="009B7617">
      <w:pPr>
        <w:pStyle w:val="Odstavecseseznamem"/>
        <w:spacing w:after="160"/>
        <w:ind w:left="284"/>
        <w:contextualSpacing w:val="0"/>
        <w:jc w:val="both"/>
        <w:rPr>
          <w:rFonts w:cstheme="minorHAnsi"/>
          <w:color w:val="404040" w:themeColor="text1" w:themeTint="BF"/>
          <w:u w:val="single"/>
          <w:lang w:eastAsia="cs-CZ"/>
        </w:rPr>
      </w:pPr>
      <w:r w:rsidRPr="00A3649A">
        <w:rPr>
          <w:rFonts w:cstheme="minorHAnsi"/>
          <w:noProof/>
          <w:color w:val="404040"/>
          <w:lang w:eastAsia="cs-CZ"/>
        </w:rPr>
        <w:drawing>
          <wp:inline distT="0" distB="0" distL="0" distR="0" wp14:anchorId="380C991C" wp14:editId="0284CAA7">
            <wp:extent cx="3962400" cy="2349500"/>
            <wp:effectExtent l="0" t="0" r="0"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F93D5F" w14:textId="00D2047A" w:rsidR="008329B2" w:rsidRPr="00CB6E48" w:rsidRDefault="00CC70D0"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ERÚ v rámci VKP nijak nezdůvodnil a ani neuvedl, z jakých konkrétních skutečností tento nárůst vyplývá, včetně kvantifikace dopadu na cenu rezervované kapacity. Tím ERÚ v podstatě znemožnil dotčeným subjektům efektivně připomínkovat návrh CR v rámci již vyhlášené veřejné konzultace.</w:t>
      </w:r>
    </w:p>
    <w:p w14:paraId="45E80467" w14:textId="7462168F" w:rsidR="001B006A" w:rsidRDefault="00CC70D0"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 xml:space="preserve">Přesunutí z mezinárodní přepravy je dle našeho názoru vyloučeno zásadami cenové regulace pro regulační období 2021-2025 pro odvětví elektroenergetiky, plynárenství, pro činnosti operátora trhu v elektroenergetice a plynárenství a pro povinně vykupující (dále jen „Zásady cenové regulace“). </w:t>
      </w:r>
    </w:p>
    <w:p w14:paraId="427EEF66" w14:textId="77777777" w:rsidR="003551D4" w:rsidRPr="00BB107C" w:rsidRDefault="003551D4" w:rsidP="003551D4">
      <w:pPr>
        <w:spacing w:after="160"/>
        <w:jc w:val="both"/>
        <w:rPr>
          <w:rFonts w:cstheme="minorHAnsi"/>
          <w:bCs/>
          <w:color w:val="404040" w:themeColor="text1" w:themeTint="BF"/>
          <w:u w:val="single"/>
          <w:lang w:eastAsia="cs-CZ"/>
        </w:rPr>
      </w:pPr>
      <w:r w:rsidRPr="00BB107C">
        <w:rPr>
          <w:rFonts w:cstheme="minorHAnsi"/>
          <w:bCs/>
          <w:color w:val="404040" w:themeColor="text1" w:themeTint="BF"/>
          <w:u w:val="single"/>
          <w:lang w:eastAsia="cs-CZ"/>
        </w:rPr>
        <w:t>Způsob promítnutí připomínky</w:t>
      </w:r>
      <w:r>
        <w:rPr>
          <w:rFonts w:cstheme="minorHAnsi"/>
          <w:bCs/>
          <w:color w:val="404040" w:themeColor="text1" w:themeTint="BF"/>
          <w:u w:val="single"/>
          <w:lang w:eastAsia="cs-CZ"/>
        </w:rPr>
        <w:t>:</w:t>
      </w:r>
    </w:p>
    <w:p w14:paraId="720874FE" w14:textId="1857845E" w:rsidR="003551D4" w:rsidRPr="00CB6E48" w:rsidRDefault="003551D4" w:rsidP="00CB6E48">
      <w:pPr>
        <w:spacing w:after="160"/>
        <w:jc w:val="both"/>
        <w:rPr>
          <w:rFonts w:cstheme="minorHAnsi"/>
          <w:color w:val="404040" w:themeColor="text1" w:themeTint="BF"/>
          <w:lang w:eastAsia="cs-CZ"/>
        </w:rPr>
      </w:pPr>
      <w:r w:rsidRPr="00CB6E48">
        <w:rPr>
          <w:rFonts w:cstheme="minorHAnsi"/>
          <w:b/>
          <w:color w:val="404040" w:themeColor="text1" w:themeTint="BF"/>
          <w:lang w:eastAsia="cs-CZ"/>
        </w:rPr>
        <w:t xml:space="preserve">Žádáme ERÚ a vládu ČR o vysvětlení a </w:t>
      </w:r>
      <w:proofErr w:type="spellStart"/>
      <w:r w:rsidRPr="00CB6E48">
        <w:rPr>
          <w:rFonts w:cstheme="minorHAnsi"/>
          <w:b/>
          <w:color w:val="404040" w:themeColor="text1" w:themeTint="BF"/>
          <w:lang w:eastAsia="cs-CZ"/>
        </w:rPr>
        <w:t>mitigaci</w:t>
      </w:r>
      <w:proofErr w:type="spellEnd"/>
      <w:r w:rsidRPr="00CB6E48">
        <w:rPr>
          <w:rFonts w:cstheme="minorHAnsi"/>
          <w:b/>
          <w:color w:val="404040" w:themeColor="text1" w:themeTint="BF"/>
          <w:lang w:eastAsia="cs-CZ"/>
        </w:rPr>
        <w:t xml:space="preserve"> nárůstu u cen</w:t>
      </w:r>
      <w:r>
        <w:rPr>
          <w:rFonts w:cstheme="minorHAnsi"/>
          <w:b/>
          <w:color w:val="404040" w:themeColor="text1" w:themeTint="BF"/>
          <w:lang w:eastAsia="cs-CZ"/>
        </w:rPr>
        <w:t xml:space="preserve"> přepravy</w:t>
      </w:r>
      <w:r w:rsidRPr="00CB6E48">
        <w:rPr>
          <w:rFonts w:cstheme="minorHAnsi"/>
          <w:b/>
          <w:color w:val="404040" w:themeColor="text1" w:themeTint="BF"/>
          <w:lang w:eastAsia="cs-CZ"/>
        </w:rPr>
        <w:t xml:space="preserve"> zemního plynu</w:t>
      </w:r>
      <w:r>
        <w:rPr>
          <w:rFonts w:cstheme="minorHAnsi"/>
          <w:b/>
          <w:color w:val="404040" w:themeColor="text1" w:themeTint="BF"/>
          <w:lang w:eastAsia="cs-CZ"/>
        </w:rPr>
        <w:t>.</w:t>
      </w:r>
    </w:p>
    <w:p w14:paraId="3441DC68" w14:textId="77777777" w:rsidR="00CB6E48" w:rsidRDefault="00CB6E48" w:rsidP="00CB6E48">
      <w:pPr>
        <w:pStyle w:val="Odstavecseseznamem"/>
        <w:spacing w:after="160"/>
        <w:ind w:left="284"/>
        <w:contextualSpacing w:val="0"/>
        <w:jc w:val="both"/>
        <w:rPr>
          <w:rFonts w:cstheme="minorHAnsi"/>
          <w:color w:val="404040" w:themeColor="text1" w:themeTint="BF"/>
          <w:lang w:eastAsia="cs-CZ"/>
        </w:rPr>
      </w:pPr>
      <w:r w:rsidRPr="00A3649A">
        <w:rPr>
          <w:rFonts w:cstheme="minorHAnsi"/>
          <w:b/>
          <w:color w:val="404040" w:themeColor="text1" w:themeTint="BF"/>
          <w:lang w:eastAsia="cs-CZ"/>
        </w:rPr>
        <w:t>Tato připomínka je zásadní</w:t>
      </w:r>
      <w:r w:rsidRPr="00A3649A">
        <w:rPr>
          <w:rFonts w:cstheme="minorHAnsi"/>
          <w:color w:val="404040" w:themeColor="text1" w:themeTint="BF"/>
          <w:lang w:eastAsia="cs-CZ"/>
        </w:rPr>
        <w:t>.</w:t>
      </w:r>
    </w:p>
    <w:p w14:paraId="33ACA400" w14:textId="3B0A9E4E" w:rsidR="00B63CF0" w:rsidRPr="00CB6E48" w:rsidRDefault="00B63CF0">
      <w:pPr>
        <w:pStyle w:val="Odstavecseseznamem"/>
        <w:spacing w:after="160"/>
        <w:ind w:left="284"/>
        <w:contextualSpacing w:val="0"/>
        <w:jc w:val="both"/>
        <w:rPr>
          <w:rFonts w:cstheme="minorHAnsi"/>
          <w:b/>
          <w:color w:val="404040" w:themeColor="text1" w:themeTint="BF"/>
          <w:lang w:eastAsia="cs-CZ"/>
        </w:rPr>
      </w:pPr>
    </w:p>
    <w:p w14:paraId="2167FA5E" w14:textId="58DBBD4E" w:rsidR="00B63CF0" w:rsidRPr="00D024BE" w:rsidRDefault="00B63CF0" w:rsidP="00D024BE">
      <w:pPr>
        <w:pStyle w:val="Odstavecseseznamem"/>
        <w:numPr>
          <w:ilvl w:val="0"/>
          <w:numId w:val="5"/>
        </w:numPr>
        <w:spacing w:after="160"/>
        <w:contextualSpacing w:val="0"/>
        <w:jc w:val="both"/>
        <w:rPr>
          <w:rFonts w:cstheme="minorHAnsi"/>
          <w:b/>
          <w:color w:val="404040" w:themeColor="text1" w:themeTint="BF"/>
          <w:lang w:eastAsia="cs-CZ"/>
        </w:rPr>
      </w:pPr>
      <w:r>
        <w:rPr>
          <w:rFonts w:cstheme="minorHAnsi"/>
          <w:b/>
          <w:color w:val="404040" w:themeColor="text1" w:themeTint="BF"/>
          <w:lang w:eastAsia="cs-CZ"/>
        </w:rPr>
        <w:t>K nárůstu ceny distribuce plynu</w:t>
      </w:r>
    </w:p>
    <w:p w14:paraId="7FAD1844" w14:textId="25593496" w:rsidR="00BB22B5" w:rsidRPr="00CB6E48" w:rsidRDefault="00B63CF0"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Žádáme ERÚ a vládu</w:t>
      </w:r>
      <w:r w:rsidR="00D32F81" w:rsidRPr="00CB6E48">
        <w:rPr>
          <w:rFonts w:cstheme="minorHAnsi"/>
          <w:color w:val="404040" w:themeColor="text1" w:themeTint="BF"/>
          <w:lang w:eastAsia="cs-CZ"/>
        </w:rPr>
        <w:t xml:space="preserve"> ČR</w:t>
      </w:r>
      <w:r w:rsidRPr="00CB6E48">
        <w:rPr>
          <w:rFonts w:cstheme="minorHAnsi"/>
          <w:color w:val="404040" w:themeColor="text1" w:themeTint="BF"/>
          <w:lang w:eastAsia="cs-CZ"/>
        </w:rPr>
        <w:t xml:space="preserve"> také o </w:t>
      </w:r>
      <w:proofErr w:type="spellStart"/>
      <w:r w:rsidRPr="00CB6E48">
        <w:rPr>
          <w:rFonts w:cstheme="minorHAnsi"/>
          <w:color w:val="404040" w:themeColor="text1" w:themeTint="BF"/>
          <w:lang w:eastAsia="cs-CZ"/>
        </w:rPr>
        <w:t>mitigaci</w:t>
      </w:r>
      <w:proofErr w:type="spellEnd"/>
      <w:r w:rsidRPr="00CB6E48">
        <w:rPr>
          <w:rFonts w:cstheme="minorHAnsi"/>
          <w:color w:val="404040" w:themeColor="text1" w:themeTint="BF"/>
          <w:lang w:eastAsia="cs-CZ"/>
        </w:rPr>
        <w:t xml:space="preserve"> nárůstu cen distribuce plynu, pro zamezení ohrožení konkurenceschopnosti českého průmyslu.</w:t>
      </w:r>
      <w:r w:rsidR="00BB22B5" w:rsidRPr="00CB6E48">
        <w:rPr>
          <w:rFonts w:cstheme="minorHAnsi"/>
          <w:color w:val="404040" w:themeColor="text1" w:themeTint="BF"/>
          <w:lang w:eastAsia="cs-CZ"/>
        </w:rPr>
        <w:t xml:space="preserve"> Byť rozumíme, že cena plynu je oproti úrovni roku 2021 mnohem vyšší, pro zachování konkurenceschopnosti českého průmyslu a s ohledem na stav v okolních zemích musí vláda a posléze ERÚ přijmout potřebné kroky.</w:t>
      </w:r>
    </w:p>
    <w:p w14:paraId="6A431903" w14:textId="738776B6" w:rsidR="00AB47A9" w:rsidRPr="00CB6E48" w:rsidRDefault="00AB47A9" w:rsidP="00CB6E48">
      <w:pPr>
        <w:spacing w:after="160"/>
        <w:jc w:val="both"/>
        <w:rPr>
          <w:rFonts w:cstheme="minorHAnsi"/>
          <w:color w:val="404040" w:themeColor="text1" w:themeTint="BF"/>
          <w:lang w:eastAsia="cs-CZ"/>
        </w:rPr>
      </w:pPr>
      <w:r w:rsidRPr="00CB6E48">
        <w:rPr>
          <w:rFonts w:cstheme="minorHAnsi"/>
          <w:bCs/>
          <w:color w:val="404040" w:themeColor="text1" w:themeTint="BF"/>
          <w:lang w:eastAsia="cs-CZ"/>
        </w:rPr>
        <w:t xml:space="preserve">Zároveň je nutné přistoupit pouze k takovým opatřením, která budou respektovat stávající regulační rámec v energetice.  </w:t>
      </w:r>
    </w:p>
    <w:p w14:paraId="32CB9C39" w14:textId="7A74DE7B" w:rsidR="00B63CF0" w:rsidRPr="00CB6E48" w:rsidRDefault="00B63CF0" w:rsidP="00CB6E48">
      <w:pPr>
        <w:spacing w:after="160"/>
        <w:jc w:val="both"/>
        <w:rPr>
          <w:rFonts w:cstheme="minorHAnsi"/>
          <w:color w:val="404040" w:themeColor="text1" w:themeTint="BF"/>
          <w:u w:val="single"/>
          <w:lang w:eastAsia="cs-CZ"/>
        </w:rPr>
      </w:pPr>
      <w:r w:rsidRPr="00CB6E48">
        <w:rPr>
          <w:rFonts w:cstheme="minorHAnsi"/>
          <w:color w:val="404040" w:themeColor="text1" w:themeTint="BF"/>
          <w:u w:val="single"/>
          <w:lang w:eastAsia="cs-CZ"/>
        </w:rPr>
        <w:lastRenderedPageBreak/>
        <w:t>Odůvodnění</w:t>
      </w:r>
    </w:p>
    <w:p w14:paraId="2FA1C9A7" w14:textId="3CA576CE" w:rsidR="00A3649A" w:rsidRPr="00CB6E48" w:rsidRDefault="00A3649A"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 xml:space="preserve">V případě ceny za služby distribuční soustavy představuje celkový meziroční nárůst plateb pro velkoodběratele plynu více než 40 %. </w:t>
      </w:r>
    </w:p>
    <w:p w14:paraId="633B78AB" w14:textId="1592D4DE" w:rsidR="00A3649A" w:rsidRPr="00A3649A" w:rsidRDefault="00A3649A" w:rsidP="009B7617">
      <w:pPr>
        <w:pStyle w:val="Odstavecseseznamem"/>
        <w:spacing w:after="160"/>
        <w:ind w:left="284"/>
        <w:contextualSpacing w:val="0"/>
        <w:jc w:val="both"/>
        <w:rPr>
          <w:rFonts w:cstheme="minorHAnsi"/>
          <w:color w:val="404040" w:themeColor="text1" w:themeTint="BF"/>
          <w:lang w:eastAsia="cs-CZ"/>
        </w:rPr>
      </w:pPr>
      <w:r w:rsidRPr="00A3649A">
        <w:rPr>
          <w:rFonts w:cstheme="minorHAnsi"/>
          <w:noProof/>
          <w:color w:val="404040"/>
          <w:lang w:eastAsia="cs-CZ"/>
        </w:rPr>
        <w:drawing>
          <wp:inline distT="0" distB="0" distL="0" distR="0" wp14:anchorId="08B84D0A" wp14:editId="1A882DAD">
            <wp:extent cx="3889612" cy="2238233"/>
            <wp:effectExtent l="0" t="0" r="15875" b="1016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99111B" w14:textId="7B17621A" w:rsidR="009B7617" w:rsidRPr="00CB6E48" w:rsidRDefault="00A3649A" w:rsidP="00CB6E48">
      <w:pPr>
        <w:spacing w:after="160"/>
        <w:jc w:val="both"/>
        <w:rPr>
          <w:rFonts w:cstheme="minorHAnsi"/>
          <w:color w:val="404040" w:themeColor="text1" w:themeTint="BF"/>
          <w:lang w:eastAsia="cs-CZ"/>
        </w:rPr>
      </w:pPr>
      <w:r w:rsidRPr="00CB6E48">
        <w:rPr>
          <w:rFonts w:cstheme="minorHAnsi"/>
          <w:color w:val="404040" w:themeColor="text1" w:themeTint="BF"/>
          <w:lang w:eastAsia="cs-CZ"/>
        </w:rPr>
        <w:t xml:space="preserve">Domníváme se, že tak zásadní nárůst nákladů na distribuci plynu nemohl být způsoben pouze výše </w:t>
      </w:r>
      <w:r w:rsidR="00B63CF0" w:rsidRPr="00CB6E48">
        <w:rPr>
          <w:rFonts w:cstheme="minorHAnsi"/>
          <w:color w:val="404040" w:themeColor="text1" w:themeTint="BF"/>
          <w:lang w:eastAsia="cs-CZ"/>
        </w:rPr>
        <w:t xml:space="preserve">zmíněným </w:t>
      </w:r>
      <w:r w:rsidRPr="00CB6E48">
        <w:rPr>
          <w:rFonts w:cstheme="minorHAnsi"/>
          <w:color w:val="404040" w:themeColor="text1" w:themeTint="BF"/>
          <w:lang w:eastAsia="cs-CZ"/>
        </w:rPr>
        <w:t>nárůstem regulovaných cen za přepravu.</w:t>
      </w:r>
      <w:r w:rsidR="00CB6E48">
        <w:rPr>
          <w:rFonts w:cstheme="minorHAnsi"/>
          <w:color w:val="404040" w:themeColor="text1" w:themeTint="BF"/>
          <w:lang w:eastAsia="cs-CZ"/>
        </w:rPr>
        <w:t xml:space="preserve"> U toho navíc také žádáme o zmírnění.</w:t>
      </w:r>
    </w:p>
    <w:p w14:paraId="6CD245AC" w14:textId="77777777" w:rsidR="003551D4" w:rsidRPr="00BB107C" w:rsidRDefault="003551D4" w:rsidP="003551D4">
      <w:pPr>
        <w:spacing w:after="160"/>
        <w:jc w:val="both"/>
        <w:rPr>
          <w:rFonts w:cstheme="minorHAnsi"/>
          <w:bCs/>
          <w:color w:val="404040" w:themeColor="text1" w:themeTint="BF"/>
          <w:u w:val="single"/>
          <w:lang w:eastAsia="cs-CZ"/>
        </w:rPr>
      </w:pPr>
      <w:r w:rsidRPr="00BB107C">
        <w:rPr>
          <w:rFonts w:cstheme="minorHAnsi"/>
          <w:bCs/>
          <w:color w:val="404040" w:themeColor="text1" w:themeTint="BF"/>
          <w:u w:val="single"/>
          <w:lang w:eastAsia="cs-CZ"/>
        </w:rPr>
        <w:t>Způsob promítnutí připomínky</w:t>
      </w:r>
      <w:r>
        <w:rPr>
          <w:rFonts w:cstheme="minorHAnsi"/>
          <w:bCs/>
          <w:color w:val="404040" w:themeColor="text1" w:themeTint="BF"/>
          <w:u w:val="single"/>
          <w:lang w:eastAsia="cs-CZ"/>
        </w:rPr>
        <w:t>:</w:t>
      </w:r>
    </w:p>
    <w:p w14:paraId="5E3AA812" w14:textId="3025057A" w:rsidR="009B7617" w:rsidRPr="00CB6E48" w:rsidRDefault="00A3649A" w:rsidP="00CB6E48">
      <w:pPr>
        <w:spacing w:after="160"/>
        <w:jc w:val="both"/>
        <w:rPr>
          <w:rFonts w:cstheme="minorHAnsi"/>
          <w:b/>
          <w:bCs/>
          <w:color w:val="404040" w:themeColor="text1" w:themeTint="BF"/>
          <w:lang w:eastAsia="cs-CZ"/>
        </w:rPr>
      </w:pPr>
      <w:r w:rsidRPr="00CB6E48">
        <w:rPr>
          <w:rFonts w:cstheme="minorHAnsi"/>
          <w:b/>
          <w:bCs/>
          <w:color w:val="404040" w:themeColor="text1" w:themeTint="BF"/>
          <w:lang w:eastAsia="cs-CZ"/>
        </w:rPr>
        <w:t>ERÚ by měl transparentně zveřejnit, jaké faktory se na nárůstu cen za služby distribuční soustavy podílely včetně kvantifikace jejich dopadu.</w:t>
      </w:r>
      <w:r w:rsidR="009B7617" w:rsidRPr="00CB6E48">
        <w:rPr>
          <w:rFonts w:cstheme="minorHAnsi"/>
          <w:b/>
          <w:bCs/>
          <w:color w:val="404040" w:themeColor="text1" w:themeTint="BF"/>
          <w:lang w:eastAsia="cs-CZ"/>
        </w:rPr>
        <w:t xml:space="preserve"> Zejména by ale</w:t>
      </w:r>
      <w:r w:rsidR="00B63CF0" w:rsidRPr="00CB6E48">
        <w:rPr>
          <w:rFonts w:cstheme="minorHAnsi"/>
          <w:b/>
          <w:bCs/>
          <w:color w:val="404040" w:themeColor="text1" w:themeTint="BF"/>
          <w:lang w:eastAsia="cs-CZ"/>
        </w:rPr>
        <w:t xml:space="preserve"> měla vláda a</w:t>
      </w:r>
      <w:r w:rsidR="009B7617" w:rsidRPr="00CB6E48">
        <w:rPr>
          <w:rFonts w:cstheme="minorHAnsi"/>
          <w:b/>
          <w:bCs/>
          <w:color w:val="404040" w:themeColor="text1" w:themeTint="BF"/>
          <w:lang w:eastAsia="cs-CZ"/>
        </w:rPr>
        <w:t xml:space="preserve"> ERÚ </w:t>
      </w:r>
      <w:proofErr w:type="spellStart"/>
      <w:r w:rsidR="009B7617" w:rsidRPr="00CB6E48">
        <w:rPr>
          <w:rFonts w:cstheme="minorHAnsi"/>
          <w:b/>
          <w:bCs/>
          <w:color w:val="404040" w:themeColor="text1" w:themeTint="BF"/>
          <w:lang w:eastAsia="cs-CZ"/>
        </w:rPr>
        <w:t>mitigovat</w:t>
      </w:r>
      <w:proofErr w:type="spellEnd"/>
      <w:r w:rsidR="009B7617" w:rsidRPr="00CB6E48">
        <w:rPr>
          <w:rFonts w:cstheme="minorHAnsi"/>
          <w:b/>
          <w:bCs/>
          <w:color w:val="404040" w:themeColor="text1" w:themeTint="BF"/>
          <w:lang w:eastAsia="cs-CZ"/>
        </w:rPr>
        <w:t xml:space="preserve"> nárůst regulované složky zemního plynu tak, aby nedošlo k ohrožení konkurenceschopnosti českého průmyslu.</w:t>
      </w:r>
    </w:p>
    <w:p w14:paraId="30DDAA18" w14:textId="5E728623" w:rsidR="003551D4" w:rsidRDefault="003C3596" w:rsidP="003551D4">
      <w:pPr>
        <w:pStyle w:val="Odstavecseseznamem"/>
        <w:spacing w:after="120"/>
        <w:ind w:left="284"/>
        <w:contextualSpacing w:val="0"/>
        <w:jc w:val="both"/>
        <w:rPr>
          <w:rFonts w:cstheme="minorHAnsi"/>
          <w:color w:val="404040" w:themeColor="text1" w:themeTint="BF"/>
          <w:lang w:eastAsia="cs-CZ"/>
        </w:rPr>
      </w:pPr>
      <w:r w:rsidRPr="00A3649A">
        <w:rPr>
          <w:rFonts w:cstheme="minorHAnsi"/>
          <w:b/>
          <w:color w:val="404040" w:themeColor="text1" w:themeTint="BF"/>
          <w:lang w:eastAsia="cs-CZ"/>
        </w:rPr>
        <w:t>Tato připomínka je zásadní</w:t>
      </w:r>
      <w:r w:rsidRPr="00A3649A">
        <w:rPr>
          <w:rFonts w:cstheme="minorHAnsi"/>
          <w:color w:val="404040" w:themeColor="text1" w:themeTint="BF"/>
          <w:lang w:eastAsia="cs-CZ"/>
        </w:rPr>
        <w:t>.</w:t>
      </w:r>
    </w:p>
    <w:p w14:paraId="6A90C760" w14:textId="77777777" w:rsidR="003551D4" w:rsidRPr="003551D4" w:rsidRDefault="003551D4" w:rsidP="003551D4">
      <w:pPr>
        <w:pStyle w:val="Odstavecseseznamem"/>
        <w:spacing w:after="120"/>
        <w:ind w:left="284"/>
        <w:contextualSpacing w:val="0"/>
        <w:jc w:val="both"/>
        <w:rPr>
          <w:rFonts w:cstheme="minorHAnsi"/>
          <w:color w:val="404040" w:themeColor="text1" w:themeTint="BF"/>
          <w:lang w:eastAsia="cs-CZ"/>
        </w:rPr>
      </w:pPr>
      <w:bookmarkStart w:id="0" w:name="_GoBack"/>
      <w:bookmarkEnd w:id="0"/>
    </w:p>
    <w:p w14:paraId="42410E5D" w14:textId="4162ED84" w:rsidR="00BA1A26" w:rsidRPr="003313A3" w:rsidRDefault="00BA1A26" w:rsidP="003313A3">
      <w:pPr>
        <w:pStyle w:val="Odstavecseseznamem"/>
        <w:numPr>
          <w:ilvl w:val="0"/>
          <w:numId w:val="5"/>
        </w:numPr>
        <w:spacing w:after="160"/>
        <w:contextualSpacing w:val="0"/>
        <w:jc w:val="both"/>
        <w:rPr>
          <w:rFonts w:cstheme="minorHAnsi"/>
          <w:b/>
          <w:color w:val="404040" w:themeColor="text1" w:themeTint="BF"/>
          <w:u w:val="single"/>
          <w:lang w:eastAsia="cs-CZ"/>
        </w:rPr>
      </w:pPr>
      <w:r w:rsidRPr="003313A3">
        <w:rPr>
          <w:rFonts w:cstheme="minorHAnsi"/>
          <w:b/>
          <w:color w:val="404040" w:themeColor="text1" w:themeTint="BF"/>
          <w:u w:val="single"/>
          <w:lang w:eastAsia="cs-CZ"/>
        </w:rPr>
        <w:t>K části šesté, bodu 15.1 – průměrná hodnota indexu OTE</w:t>
      </w:r>
    </w:p>
    <w:p w14:paraId="24F79B0D" w14:textId="6A3B6F7D" w:rsidR="00BA1A26" w:rsidRDefault="00BA1A26" w:rsidP="003313A3">
      <w:pPr>
        <w:spacing w:after="160"/>
        <w:jc w:val="both"/>
        <w:rPr>
          <w:rFonts w:cstheme="minorHAnsi"/>
          <w:color w:val="404040" w:themeColor="text1" w:themeTint="BF"/>
          <w:lang w:eastAsia="cs-CZ"/>
        </w:rPr>
      </w:pPr>
      <w:r w:rsidRPr="00BA1A26">
        <w:rPr>
          <w:rFonts w:cstheme="minorHAnsi"/>
          <w:color w:val="404040" w:themeColor="text1" w:themeTint="BF"/>
          <w:lang w:eastAsia="cs-CZ"/>
        </w:rPr>
        <w:t xml:space="preserve">Požadujeme zkrátit dobu, za kterou se stanovuje průměrná hodnota Indexu OTE </w:t>
      </w:r>
      <w:proofErr w:type="gramStart"/>
      <w:r w:rsidRPr="00BA1A26">
        <w:rPr>
          <w:rFonts w:cstheme="minorHAnsi"/>
          <w:color w:val="404040" w:themeColor="text1" w:themeTint="BF"/>
          <w:lang w:eastAsia="cs-CZ"/>
        </w:rPr>
        <w:t>ze</w:t>
      </w:r>
      <w:proofErr w:type="gramEnd"/>
      <w:r w:rsidRPr="00BA1A26">
        <w:rPr>
          <w:rFonts w:cstheme="minorHAnsi"/>
          <w:color w:val="404040" w:themeColor="text1" w:themeTint="BF"/>
          <w:lang w:eastAsia="cs-CZ"/>
        </w:rPr>
        <w:t xml:space="preserve"> 30 na 5 dnů.</w:t>
      </w:r>
    </w:p>
    <w:p w14:paraId="0530FE5B" w14:textId="6CECA7EE" w:rsidR="00BA1A26" w:rsidRDefault="00BA1A26" w:rsidP="003313A3">
      <w:pPr>
        <w:spacing w:after="160"/>
        <w:jc w:val="both"/>
        <w:rPr>
          <w:rFonts w:cstheme="minorHAnsi"/>
          <w:color w:val="404040" w:themeColor="text1" w:themeTint="BF"/>
          <w:lang w:eastAsia="cs-CZ"/>
        </w:rPr>
      </w:pPr>
      <w:r>
        <w:rPr>
          <w:rFonts w:cstheme="minorHAnsi"/>
          <w:color w:val="404040" w:themeColor="text1" w:themeTint="BF"/>
          <w:u w:val="single"/>
          <w:lang w:eastAsia="cs-CZ"/>
        </w:rPr>
        <w:t>Odůvodnění:</w:t>
      </w:r>
    </w:p>
    <w:p w14:paraId="4DF354B0" w14:textId="0BDF33BE" w:rsidR="00BA1A26" w:rsidRDefault="00BA1A26" w:rsidP="003313A3">
      <w:pPr>
        <w:spacing w:after="160"/>
        <w:jc w:val="both"/>
        <w:rPr>
          <w:rFonts w:cstheme="minorHAnsi"/>
          <w:color w:val="404040" w:themeColor="text1" w:themeTint="BF"/>
          <w:lang w:eastAsia="cs-CZ"/>
        </w:rPr>
      </w:pPr>
      <w:r w:rsidRPr="00BA1A26">
        <w:rPr>
          <w:rFonts w:cstheme="minorHAnsi"/>
          <w:color w:val="404040" w:themeColor="text1" w:themeTint="BF"/>
          <w:lang w:eastAsia="cs-CZ"/>
        </w:rPr>
        <w:t>Domníváme se, že doba 30 dnů pro stanovení hodnoty Indexu OTE je nepřiměřeně dlouhá. Cena plynu za zúčtování kladné odchylky by měla reflektovat tržní cenu bezprostředně před vyhlášením předcházení stavu nouze, stav nouze ani mimořádný stav nouze. Situace na trhu s plynem se může významně měnit a vliv na ni má i počasí. Férové ocenění ceny plynu pro zúčtování kladné odchylky by mělo vycházet z tržní ceny plynu bezprostředně před zásahem do trhu. Domníváme se, že se v tomto případě jedná o cenu obvyklou v místě a čase.</w:t>
      </w:r>
    </w:p>
    <w:p w14:paraId="11AEA1E1" w14:textId="77777777" w:rsidR="003551D4" w:rsidRPr="00BB107C" w:rsidRDefault="003551D4" w:rsidP="003551D4">
      <w:pPr>
        <w:spacing w:after="160"/>
        <w:jc w:val="both"/>
        <w:rPr>
          <w:rFonts w:cstheme="minorHAnsi"/>
          <w:bCs/>
          <w:color w:val="404040" w:themeColor="text1" w:themeTint="BF"/>
          <w:u w:val="single"/>
          <w:lang w:eastAsia="cs-CZ"/>
        </w:rPr>
      </w:pPr>
      <w:r w:rsidRPr="00BB107C">
        <w:rPr>
          <w:rFonts w:cstheme="minorHAnsi"/>
          <w:bCs/>
          <w:color w:val="404040" w:themeColor="text1" w:themeTint="BF"/>
          <w:u w:val="single"/>
          <w:lang w:eastAsia="cs-CZ"/>
        </w:rPr>
        <w:t>Způsob promítnutí připomínky</w:t>
      </w:r>
      <w:r>
        <w:rPr>
          <w:rFonts w:cstheme="minorHAnsi"/>
          <w:bCs/>
          <w:color w:val="404040" w:themeColor="text1" w:themeTint="BF"/>
          <w:u w:val="single"/>
          <w:lang w:eastAsia="cs-CZ"/>
        </w:rPr>
        <w:t>:</w:t>
      </w:r>
    </w:p>
    <w:p w14:paraId="3FD681C8" w14:textId="77777777" w:rsidR="003551D4" w:rsidRDefault="003551D4" w:rsidP="003551D4">
      <w:pPr>
        <w:spacing w:after="160"/>
        <w:jc w:val="both"/>
        <w:rPr>
          <w:rFonts w:cstheme="minorHAnsi"/>
          <w:color w:val="404040" w:themeColor="text1" w:themeTint="BF"/>
          <w:lang w:eastAsia="cs-CZ"/>
        </w:rPr>
      </w:pPr>
      <w:r>
        <w:rPr>
          <w:rFonts w:cstheme="minorHAnsi"/>
          <w:b/>
          <w:color w:val="404040" w:themeColor="text1" w:themeTint="BF"/>
          <w:lang w:eastAsia="cs-CZ"/>
        </w:rPr>
        <w:t>Viz výše,</w:t>
      </w:r>
      <w:r w:rsidRPr="003551D4">
        <w:rPr>
          <w:rFonts w:cstheme="minorHAnsi"/>
          <w:color w:val="404040" w:themeColor="text1" w:themeTint="BF"/>
          <w:lang w:eastAsia="cs-CZ"/>
        </w:rPr>
        <w:t xml:space="preserve"> </w:t>
      </w:r>
      <w:r>
        <w:rPr>
          <w:rFonts w:cstheme="minorHAnsi"/>
          <w:color w:val="404040" w:themeColor="text1" w:themeTint="BF"/>
          <w:lang w:eastAsia="cs-CZ"/>
        </w:rPr>
        <w:t>p</w:t>
      </w:r>
      <w:r w:rsidRPr="00BA1A26">
        <w:rPr>
          <w:rFonts w:cstheme="minorHAnsi"/>
          <w:color w:val="404040" w:themeColor="text1" w:themeTint="BF"/>
          <w:lang w:eastAsia="cs-CZ"/>
        </w:rPr>
        <w:t>ožadujeme</w:t>
      </w:r>
      <w:r>
        <w:rPr>
          <w:rFonts w:cstheme="minorHAnsi"/>
          <w:color w:val="404040" w:themeColor="text1" w:themeTint="BF"/>
          <w:lang w:eastAsia="cs-CZ"/>
        </w:rPr>
        <w:t xml:space="preserve"> v části 15.1</w:t>
      </w:r>
      <w:r w:rsidRPr="00BA1A26">
        <w:rPr>
          <w:rFonts w:cstheme="minorHAnsi"/>
          <w:color w:val="404040" w:themeColor="text1" w:themeTint="BF"/>
          <w:lang w:eastAsia="cs-CZ"/>
        </w:rPr>
        <w:t xml:space="preserve"> zkrátit dobu, za kterou se stanovuje průměrná hodnota Indexu OTE </w:t>
      </w:r>
      <w:proofErr w:type="gramStart"/>
      <w:r w:rsidRPr="00BA1A26">
        <w:rPr>
          <w:rFonts w:cstheme="minorHAnsi"/>
          <w:color w:val="404040" w:themeColor="text1" w:themeTint="BF"/>
          <w:lang w:eastAsia="cs-CZ"/>
        </w:rPr>
        <w:t>ze</w:t>
      </w:r>
      <w:proofErr w:type="gramEnd"/>
      <w:r w:rsidRPr="00BA1A26">
        <w:rPr>
          <w:rFonts w:cstheme="minorHAnsi"/>
          <w:color w:val="404040" w:themeColor="text1" w:themeTint="BF"/>
          <w:lang w:eastAsia="cs-CZ"/>
        </w:rPr>
        <w:t xml:space="preserve"> 30 na 5 dnů.</w:t>
      </w:r>
    </w:p>
    <w:p w14:paraId="0CD0BF31" w14:textId="70C58C41" w:rsidR="00CB6E48" w:rsidRPr="00BA1A26" w:rsidRDefault="00CB6E48" w:rsidP="003313A3">
      <w:pPr>
        <w:spacing w:after="160"/>
        <w:jc w:val="both"/>
        <w:rPr>
          <w:rFonts w:cstheme="minorHAnsi"/>
          <w:color w:val="404040" w:themeColor="text1" w:themeTint="BF"/>
          <w:lang w:eastAsia="cs-CZ"/>
        </w:rPr>
      </w:pPr>
      <w:r w:rsidRPr="00A3649A">
        <w:rPr>
          <w:rFonts w:cstheme="minorHAnsi"/>
          <w:b/>
          <w:color w:val="404040" w:themeColor="text1" w:themeTint="BF"/>
          <w:lang w:eastAsia="cs-CZ"/>
        </w:rPr>
        <w:t>Tato připomínka je zásadní</w:t>
      </w:r>
      <w:r w:rsidRPr="00A3649A">
        <w:rPr>
          <w:rFonts w:cstheme="minorHAnsi"/>
          <w:color w:val="404040" w:themeColor="text1" w:themeTint="BF"/>
          <w:lang w:eastAsia="cs-CZ"/>
        </w:rPr>
        <w:t>.</w:t>
      </w:r>
    </w:p>
    <w:sectPr w:rsidR="00CB6E48" w:rsidRPr="00BA1A26" w:rsidSect="003551D4">
      <w:footerReference w:type="default" r:id="rId11"/>
      <w:headerReference w:type="first" r:id="rId12"/>
      <w:footerReference w:type="first" r:id="rId13"/>
      <w:pgSz w:w="11906" w:h="16838"/>
      <w:pgMar w:top="1418" w:right="1134" w:bottom="993" w:left="1134" w:header="567" w:footer="197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7E5C" w16cex:dateUtc="2023-11-09T14:50:00Z"/>
  <w16cex:commentExtensible w16cex:durableId="28F77E64" w16cex:dateUtc="2023-11-09T14:51:00Z"/>
  <w16cex:commentExtensible w16cex:durableId="28F77E20" w16cex:dateUtc="2023-11-09T14:49:00Z"/>
  <w16cex:commentExtensible w16cex:durableId="28F77E6D" w16cex:dateUtc="2023-11-09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BFFF1" w16cid:durableId="28F77E5C"/>
  <w16cid:commentId w16cid:paraId="7B22AF38" w16cid:durableId="28F77E64"/>
  <w16cid:commentId w16cid:paraId="35674954" w16cid:durableId="28F77E20"/>
  <w16cid:commentId w16cid:paraId="662E44C9" w16cid:durableId="28F77E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BED0" w14:textId="77777777" w:rsidR="00CF2926" w:rsidRDefault="00CF2926" w:rsidP="005F7548">
      <w:pPr>
        <w:spacing w:after="0" w:line="240" w:lineRule="auto"/>
      </w:pPr>
      <w:r>
        <w:separator/>
      </w:r>
    </w:p>
  </w:endnote>
  <w:endnote w:type="continuationSeparator" w:id="0">
    <w:p w14:paraId="0E812532" w14:textId="77777777" w:rsidR="00CF2926" w:rsidRDefault="00CF2926"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6F63" w14:textId="77777777" w:rsidR="00F216B8" w:rsidRDefault="00F216B8">
    <w:pPr>
      <w:pStyle w:val="Zpat"/>
    </w:pPr>
    <w:r>
      <w:rPr>
        <w:noProof/>
        <w:lang w:eastAsia="cs-CZ"/>
      </w:rPr>
      <mc:AlternateContent>
        <mc:Choice Requires="wps">
          <w:drawing>
            <wp:anchor distT="0" distB="0" distL="114300" distR="114300" simplePos="0" relativeHeight="251663360" behindDoc="0" locked="0" layoutInCell="1" allowOverlap="1" wp14:anchorId="1286719C" wp14:editId="4AC129B0">
              <wp:simplePos x="0" y="0"/>
              <wp:positionH relativeFrom="margin">
                <wp:posOffset>5850890</wp:posOffset>
              </wp:positionH>
              <wp:positionV relativeFrom="paragraph">
                <wp:posOffset>374650</wp:posOffset>
              </wp:positionV>
              <wp:extent cx="374650" cy="245110"/>
              <wp:effectExtent l="0" t="0" r="0" b="0"/>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3C269" w14:textId="12D7A4A2" w:rsidR="00F216B8" w:rsidRPr="00936EF5" w:rsidRDefault="00F216B8"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3551D4">
                            <w:rPr>
                              <w:noProof/>
                              <w:color w:val="272154"/>
                            </w:rPr>
                            <w:t>2</w:t>
                          </w:r>
                          <w:r w:rsidRPr="00936EF5">
                            <w:rPr>
                              <w:color w:val="27215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6719C" id="_x0000_t202" coordsize="21600,21600" o:spt="202" path="m,l,21600r21600,l21600,xe">
              <v:stroke joinstyle="miter"/>
              <v:path gradientshapeok="t" o:connecttype="rect"/>
            </v:shapetype>
            <v:shape id="Textové pole 34" o:spid="_x0000_s1026" type="#_x0000_t202" style="position:absolute;margin-left:460.7pt;margin-top:29.5pt;width:29.5pt;height:1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" filled="f" stroked="f" strokeweight=".5pt">
              <v:path arrowok="t"/>
              <v:textbox>
                <w:txbxContent>
                  <w:p w14:paraId="4023C269" w14:textId="12D7A4A2" w:rsidR="00F216B8" w:rsidRPr="00936EF5" w:rsidRDefault="00F216B8"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3551D4">
                      <w:rPr>
                        <w:noProof/>
                        <w:color w:val="272154"/>
                      </w:rPr>
                      <w:t>2</w:t>
                    </w:r>
                    <w:r w:rsidRPr="00936EF5">
                      <w:rPr>
                        <w:color w:val="27215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DE2" w14:textId="77777777" w:rsidR="00F216B8" w:rsidRDefault="00F216B8">
    <w:pPr>
      <w:pStyle w:val="Zpat"/>
    </w:pPr>
    <w:r>
      <w:rPr>
        <w:noProof/>
        <w:lang w:eastAsia="cs-CZ"/>
      </w:rPr>
      <mc:AlternateContent>
        <mc:Choice Requires="wps">
          <w:drawing>
            <wp:anchor distT="0" distB="0" distL="114300" distR="114300" simplePos="0" relativeHeight="251655168" behindDoc="0" locked="0" layoutInCell="1" allowOverlap="1" wp14:anchorId="40264888" wp14:editId="17B970A9">
              <wp:simplePos x="0" y="0"/>
              <wp:positionH relativeFrom="column">
                <wp:posOffset>32385</wp:posOffset>
              </wp:positionH>
              <wp:positionV relativeFrom="paragraph">
                <wp:posOffset>260350</wp:posOffset>
              </wp:positionV>
              <wp:extent cx="4161790" cy="733425"/>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179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7821" w14:textId="77777777" w:rsidR="00F216B8" w:rsidRDefault="00F216B8"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2773452F" w14:textId="77777777" w:rsidR="00F216B8" w:rsidRPr="00820FF9" w:rsidRDefault="00F216B8"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264888" id="_x0000_t202" coordsize="21600,21600" o:spt="202" path="m,l,21600r21600,l21600,xe">
              <v:stroke joinstyle="miter"/>
              <v:path gradientshapeok="t" o:connecttype="rect"/>
            </v:shapetype>
            <v:shape id="Textové pole 5" o:spid="_x0000_s1027" type="#_x0000_t202" style="position:absolute;margin-left:2.55pt;margin-top:20.5pt;width:327.7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" fillcolor="white [3201]" stroked="f" strokeweight=".5pt">
              <v:textbox inset="0,,0">
                <w:txbxContent>
                  <w:p w14:paraId="319E7821" w14:textId="77777777" w:rsidR="00F216B8" w:rsidRDefault="00F216B8"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2773452F" w14:textId="77777777" w:rsidR="00F216B8" w:rsidRPr="00820FF9" w:rsidRDefault="00F216B8"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3EDE" w14:textId="77777777" w:rsidR="00CF2926" w:rsidRDefault="00CF2926" w:rsidP="005F7548">
      <w:pPr>
        <w:spacing w:after="0" w:line="240" w:lineRule="auto"/>
      </w:pPr>
      <w:r>
        <w:separator/>
      </w:r>
    </w:p>
  </w:footnote>
  <w:footnote w:type="continuationSeparator" w:id="0">
    <w:p w14:paraId="62228281" w14:textId="77777777" w:rsidR="00CF2926" w:rsidRDefault="00CF2926" w:rsidP="005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7CA" w14:textId="77777777" w:rsidR="00F216B8" w:rsidRDefault="00F216B8">
    <w:pPr>
      <w:pStyle w:val="Zhlav"/>
    </w:pPr>
    <w:r>
      <w:rPr>
        <w:noProof/>
        <w:lang w:eastAsia="cs-CZ"/>
      </w:rPr>
      <w:drawing>
        <wp:anchor distT="0" distB="0" distL="114300" distR="114300" simplePos="0" relativeHeight="251661312" behindDoc="0" locked="0" layoutInCell="1" allowOverlap="1" wp14:anchorId="6F6931BB" wp14:editId="31A5C93F">
          <wp:simplePos x="0" y="0"/>
          <wp:positionH relativeFrom="column">
            <wp:posOffset>35560</wp:posOffset>
          </wp:positionH>
          <wp:positionV relativeFrom="paragraph">
            <wp:posOffset>236220</wp:posOffset>
          </wp:positionV>
          <wp:extent cx="2354400" cy="720000"/>
          <wp:effectExtent l="0" t="0" r="0" b="444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54400"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87"/>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B92915"/>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CC079A"/>
    <w:multiLevelType w:val="hybridMultilevel"/>
    <w:tmpl w:val="4C222B04"/>
    <w:lvl w:ilvl="0" w:tplc="31C6FC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BA3163B"/>
    <w:multiLevelType w:val="hybridMultilevel"/>
    <w:tmpl w:val="FD182388"/>
    <w:lvl w:ilvl="0" w:tplc="4CBC61F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D12187A"/>
    <w:multiLevelType w:val="multilevel"/>
    <w:tmpl w:val="70B6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2591E"/>
    <w:multiLevelType w:val="hybridMultilevel"/>
    <w:tmpl w:val="10366332"/>
    <w:lvl w:ilvl="0" w:tplc="E2465444">
      <w:start w:val="1"/>
      <w:numFmt w:val="decimal"/>
      <w:lvlText w:val="%1."/>
      <w:lvlJc w:val="left"/>
      <w:pPr>
        <w:tabs>
          <w:tab w:val="num" w:pos="284"/>
        </w:tabs>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4C0668"/>
    <w:multiLevelType w:val="hybridMultilevel"/>
    <w:tmpl w:val="A0821BAC"/>
    <w:lvl w:ilvl="0" w:tplc="1BB2E7A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91B52C8"/>
    <w:multiLevelType w:val="multilevel"/>
    <w:tmpl w:val="08C0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2309F"/>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8533BC"/>
    <w:multiLevelType w:val="hybridMultilevel"/>
    <w:tmpl w:val="02C6D5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0935155"/>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209793E"/>
    <w:multiLevelType w:val="multilevel"/>
    <w:tmpl w:val="34040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C322FF"/>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8160B35"/>
    <w:multiLevelType w:val="hybridMultilevel"/>
    <w:tmpl w:val="A75016E8"/>
    <w:lvl w:ilvl="0" w:tplc="0405000F">
      <w:start w:val="1"/>
      <w:numFmt w:val="decimal"/>
      <w:lvlText w:val="%1."/>
      <w:lvlJc w:val="left"/>
      <w:pPr>
        <w:ind w:left="720" w:hanging="360"/>
      </w:pPr>
      <w:rPr>
        <w:rFonts w:hint="default"/>
        <w:b/>
        <w:i w:val="0"/>
        <w:spacing w:val="0"/>
        <w:w w:val="100"/>
        <w:kern w:val="0"/>
        <w:position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5C0E0C"/>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98B4328"/>
    <w:multiLevelType w:val="hybridMultilevel"/>
    <w:tmpl w:val="98E05074"/>
    <w:lvl w:ilvl="0" w:tplc="13CE03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3F41810"/>
    <w:multiLevelType w:val="multilevel"/>
    <w:tmpl w:val="C32C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17E0A"/>
    <w:multiLevelType w:val="hybridMultilevel"/>
    <w:tmpl w:val="99C242D8"/>
    <w:lvl w:ilvl="0" w:tplc="DEE6B4F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FD84DB2"/>
    <w:multiLevelType w:val="hybridMultilevel"/>
    <w:tmpl w:val="2E502D92"/>
    <w:lvl w:ilvl="0" w:tplc="8646A7E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21F2B6B"/>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851645E"/>
    <w:multiLevelType w:val="hybridMultilevel"/>
    <w:tmpl w:val="6700DD7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07E0CDC"/>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1195370"/>
    <w:multiLevelType w:val="hybridMultilevel"/>
    <w:tmpl w:val="6D4A1D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2676E5"/>
    <w:multiLevelType w:val="hybridMultilevel"/>
    <w:tmpl w:val="0952F694"/>
    <w:lvl w:ilvl="0" w:tplc="D318E58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AF50823"/>
    <w:multiLevelType w:val="hybridMultilevel"/>
    <w:tmpl w:val="E5F20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340500"/>
    <w:multiLevelType w:val="hybridMultilevel"/>
    <w:tmpl w:val="250A5708"/>
    <w:lvl w:ilvl="0" w:tplc="650E515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1111A7"/>
    <w:multiLevelType w:val="hybridMultilevel"/>
    <w:tmpl w:val="98D826E8"/>
    <w:lvl w:ilvl="0" w:tplc="04050019">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B4429A3"/>
    <w:multiLevelType w:val="hybridMultilevel"/>
    <w:tmpl w:val="08087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2"/>
  </w:num>
  <w:num w:numId="4">
    <w:abstractNumId w:val="25"/>
  </w:num>
  <w:num w:numId="5">
    <w:abstractNumId w:val="5"/>
  </w:num>
  <w:num w:numId="6">
    <w:abstractNumId w:val="11"/>
  </w:num>
  <w:num w:numId="7">
    <w:abstractNumId w:val="20"/>
  </w:num>
  <w:num w:numId="8">
    <w:abstractNumId w:val="9"/>
  </w:num>
  <w:num w:numId="9">
    <w:abstractNumId w:val="7"/>
  </w:num>
  <w:num w:numId="10">
    <w:abstractNumId w:val="4"/>
  </w:num>
  <w:num w:numId="11">
    <w:abstractNumId w:val="16"/>
  </w:num>
  <w:num w:numId="12">
    <w:abstractNumId w:val="21"/>
  </w:num>
  <w:num w:numId="13">
    <w:abstractNumId w:val="1"/>
  </w:num>
  <w:num w:numId="14">
    <w:abstractNumId w:val="14"/>
  </w:num>
  <w:num w:numId="15">
    <w:abstractNumId w:val="19"/>
  </w:num>
  <w:num w:numId="16">
    <w:abstractNumId w:val="10"/>
  </w:num>
  <w:num w:numId="17">
    <w:abstractNumId w:val="23"/>
  </w:num>
  <w:num w:numId="18">
    <w:abstractNumId w:val="17"/>
  </w:num>
  <w:num w:numId="19">
    <w:abstractNumId w:val="0"/>
  </w:num>
  <w:num w:numId="20">
    <w:abstractNumId w:val="12"/>
  </w:num>
  <w:num w:numId="21">
    <w:abstractNumId w:val="8"/>
  </w:num>
  <w:num w:numId="22">
    <w:abstractNumId w:val="26"/>
  </w:num>
  <w:num w:numId="23">
    <w:abstractNumId w:val="15"/>
  </w:num>
  <w:num w:numId="24">
    <w:abstractNumId w:val="18"/>
  </w:num>
  <w:num w:numId="25">
    <w:abstractNumId w:val="6"/>
  </w:num>
  <w:num w:numId="26">
    <w:abstractNumId w:val="24"/>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DC"/>
    <w:rsid w:val="000041A3"/>
    <w:rsid w:val="0000603E"/>
    <w:rsid w:val="00007754"/>
    <w:rsid w:val="000222D6"/>
    <w:rsid w:val="0003484C"/>
    <w:rsid w:val="0004443D"/>
    <w:rsid w:val="00057406"/>
    <w:rsid w:val="00065533"/>
    <w:rsid w:val="000672AF"/>
    <w:rsid w:val="000703B9"/>
    <w:rsid w:val="000776E8"/>
    <w:rsid w:val="00081B0A"/>
    <w:rsid w:val="000944DE"/>
    <w:rsid w:val="000A1520"/>
    <w:rsid w:val="000A7C7A"/>
    <w:rsid w:val="000B14D7"/>
    <w:rsid w:val="000B1A8B"/>
    <w:rsid w:val="000D0E3D"/>
    <w:rsid w:val="000D1E52"/>
    <w:rsid w:val="000D3F1D"/>
    <w:rsid w:val="000F3AFF"/>
    <w:rsid w:val="000F3EB3"/>
    <w:rsid w:val="00102500"/>
    <w:rsid w:val="001107F5"/>
    <w:rsid w:val="001143DF"/>
    <w:rsid w:val="00114B1E"/>
    <w:rsid w:val="00121669"/>
    <w:rsid w:val="001262F2"/>
    <w:rsid w:val="001349FE"/>
    <w:rsid w:val="001367E1"/>
    <w:rsid w:val="001534AE"/>
    <w:rsid w:val="00154AB6"/>
    <w:rsid w:val="00167439"/>
    <w:rsid w:val="00171611"/>
    <w:rsid w:val="001721D8"/>
    <w:rsid w:val="00173F44"/>
    <w:rsid w:val="00174996"/>
    <w:rsid w:val="001758E8"/>
    <w:rsid w:val="0018448B"/>
    <w:rsid w:val="0018537B"/>
    <w:rsid w:val="00192C97"/>
    <w:rsid w:val="001946E4"/>
    <w:rsid w:val="001A054F"/>
    <w:rsid w:val="001A6CE5"/>
    <w:rsid w:val="001B006A"/>
    <w:rsid w:val="001B4424"/>
    <w:rsid w:val="001B6814"/>
    <w:rsid w:val="001B760F"/>
    <w:rsid w:val="001B7CD3"/>
    <w:rsid w:val="001C32A6"/>
    <w:rsid w:val="001D6D3A"/>
    <w:rsid w:val="001D7360"/>
    <w:rsid w:val="001E2062"/>
    <w:rsid w:val="001E3043"/>
    <w:rsid w:val="001E3B79"/>
    <w:rsid w:val="001E5D20"/>
    <w:rsid w:val="001F04DF"/>
    <w:rsid w:val="00213362"/>
    <w:rsid w:val="002208BC"/>
    <w:rsid w:val="00234F5D"/>
    <w:rsid w:val="002427E5"/>
    <w:rsid w:val="002631EA"/>
    <w:rsid w:val="00263F9B"/>
    <w:rsid w:val="0026536F"/>
    <w:rsid w:val="00272011"/>
    <w:rsid w:val="00284EAF"/>
    <w:rsid w:val="002900FB"/>
    <w:rsid w:val="0029418E"/>
    <w:rsid w:val="002943B5"/>
    <w:rsid w:val="0029680F"/>
    <w:rsid w:val="002A7500"/>
    <w:rsid w:val="002C6F79"/>
    <w:rsid w:val="002D4D3F"/>
    <w:rsid w:val="002E2982"/>
    <w:rsid w:val="002E541E"/>
    <w:rsid w:val="002E5B27"/>
    <w:rsid w:val="002E5FE4"/>
    <w:rsid w:val="002F0456"/>
    <w:rsid w:val="002F5037"/>
    <w:rsid w:val="002F7BD9"/>
    <w:rsid w:val="00301966"/>
    <w:rsid w:val="00307A08"/>
    <w:rsid w:val="00322389"/>
    <w:rsid w:val="0032276F"/>
    <w:rsid w:val="003313A3"/>
    <w:rsid w:val="00346EDF"/>
    <w:rsid w:val="003551D4"/>
    <w:rsid w:val="003631A6"/>
    <w:rsid w:val="003641F7"/>
    <w:rsid w:val="0037001C"/>
    <w:rsid w:val="003840E0"/>
    <w:rsid w:val="00386FB5"/>
    <w:rsid w:val="00390986"/>
    <w:rsid w:val="003943A6"/>
    <w:rsid w:val="003A62A3"/>
    <w:rsid w:val="003A6F78"/>
    <w:rsid w:val="003A7071"/>
    <w:rsid w:val="003B187C"/>
    <w:rsid w:val="003B1E69"/>
    <w:rsid w:val="003C2086"/>
    <w:rsid w:val="003C3596"/>
    <w:rsid w:val="003C50B2"/>
    <w:rsid w:val="003E01C0"/>
    <w:rsid w:val="003E11E1"/>
    <w:rsid w:val="003E4106"/>
    <w:rsid w:val="003E7D5F"/>
    <w:rsid w:val="00410120"/>
    <w:rsid w:val="00411EAE"/>
    <w:rsid w:val="00414439"/>
    <w:rsid w:val="00417ABA"/>
    <w:rsid w:val="00424F73"/>
    <w:rsid w:val="00430176"/>
    <w:rsid w:val="00441914"/>
    <w:rsid w:val="004441EE"/>
    <w:rsid w:val="00446056"/>
    <w:rsid w:val="00453F60"/>
    <w:rsid w:val="00456A2B"/>
    <w:rsid w:val="00465425"/>
    <w:rsid w:val="00467D69"/>
    <w:rsid w:val="00474935"/>
    <w:rsid w:val="00475057"/>
    <w:rsid w:val="00487406"/>
    <w:rsid w:val="004913F7"/>
    <w:rsid w:val="00492595"/>
    <w:rsid w:val="004A1F59"/>
    <w:rsid w:val="004A370F"/>
    <w:rsid w:val="004A581A"/>
    <w:rsid w:val="004B056C"/>
    <w:rsid w:val="004B1FB0"/>
    <w:rsid w:val="004B2742"/>
    <w:rsid w:val="004B2A8D"/>
    <w:rsid w:val="004B2FE4"/>
    <w:rsid w:val="004C07E2"/>
    <w:rsid w:val="004C7280"/>
    <w:rsid w:val="004D2135"/>
    <w:rsid w:val="004D2D72"/>
    <w:rsid w:val="004D7895"/>
    <w:rsid w:val="004E352F"/>
    <w:rsid w:val="004E6BEE"/>
    <w:rsid w:val="004E6DB4"/>
    <w:rsid w:val="004F165C"/>
    <w:rsid w:val="004F7128"/>
    <w:rsid w:val="00510BEE"/>
    <w:rsid w:val="00513454"/>
    <w:rsid w:val="005136B3"/>
    <w:rsid w:val="005266EF"/>
    <w:rsid w:val="00531A1A"/>
    <w:rsid w:val="005322B6"/>
    <w:rsid w:val="00532561"/>
    <w:rsid w:val="0054655F"/>
    <w:rsid w:val="00547F53"/>
    <w:rsid w:val="00553ADF"/>
    <w:rsid w:val="00555DFA"/>
    <w:rsid w:val="0057571C"/>
    <w:rsid w:val="00576A4D"/>
    <w:rsid w:val="00582982"/>
    <w:rsid w:val="00583B3E"/>
    <w:rsid w:val="00586A18"/>
    <w:rsid w:val="00593A93"/>
    <w:rsid w:val="005945C6"/>
    <w:rsid w:val="00595C26"/>
    <w:rsid w:val="005A519D"/>
    <w:rsid w:val="005B4513"/>
    <w:rsid w:val="005B6C7E"/>
    <w:rsid w:val="005C2A0E"/>
    <w:rsid w:val="005D0B4E"/>
    <w:rsid w:val="005D43F2"/>
    <w:rsid w:val="005E102B"/>
    <w:rsid w:val="005E3077"/>
    <w:rsid w:val="005E574A"/>
    <w:rsid w:val="005F069F"/>
    <w:rsid w:val="005F0DEB"/>
    <w:rsid w:val="005F7548"/>
    <w:rsid w:val="00602898"/>
    <w:rsid w:val="00606F9D"/>
    <w:rsid w:val="00611AD7"/>
    <w:rsid w:val="0061342D"/>
    <w:rsid w:val="00627275"/>
    <w:rsid w:val="006339A6"/>
    <w:rsid w:val="00633A01"/>
    <w:rsid w:val="00633A88"/>
    <w:rsid w:val="00637CB0"/>
    <w:rsid w:val="00643470"/>
    <w:rsid w:val="00655C50"/>
    <w:rsid w:val="00656A2A"/>
    <w:rsid w:val="0066350E"/>
    <w:rsid w:val="0066576E"/>
    <w:rsid w:val="00671048"/>
    <w:rsid w:val="00677F81"/>
    <w:rsid w:val="0068231D"/>
    <w:rsid w:val="00695C87"/>
    <w:rsid w:val="006A546E"/>
    <w:rsid w:val="006A5AB8"/>
    <w:rsid w:val="006A676A"/>
    <w:rsid w:val="006B34EC"/>
    <w:rsid w:val="006B74EC"/>
    <w:rsid w:val="006C3611"/>
    <w:rsid w:val="006D0E4B"/>
    <w:rsid w:val="006D2BAF"/>
    <w:rsid w:val="006D3B31"/>
    <w:rsid w:val="006D67FE"/>
    <w:rsid w:val="006E2C57"/>
    <w:rsid w:val="006E33E6"/>
    <w:rsid w:val="006F092E"/>
    <w:rsid w:val="006F15D4"/>
    <w:rsid w:val="006F39A0"/>
    <w:rsid w:val="006F5845"/>
    <w:rsid w:val="006F5EDB"/>
    <w:rsid w:val="006F6776"/>
    <w:rsid w:val="0070290D"/>
    <w:rsid w:val="0071040A"/>
    <w:rsid w:val="007109AD"/>
    <w:rsid w:val="00725F0D"/>
    <w:rsid w:val="0073144D"/>
    <w:rsid w:val="0074731B"/>
    <w:rsid w:val="00753B16"/>
    <w:rsid w:val="00754EF5"/>
    <w:rsid w:val="00763827"/>
    <w:rsid w:val="00770D60"/>
    <w:rsid w:val="00771095"/>
    <w:rsid w:val="00776B3B"/>
    <w:rsid w:val="0077738A"/>
    <w:rsid w:val="00792605"/>
    <w:rsid w:val="00793828"/>
    <w:rsid w:val="00794595"/>
    <w:rsid w:val="007A0BB3"/>
    <w:rsid w:val="007B180C"/>
    <w:rsid w:val="007B194D"/>
    <w:rsid w:val="007B56BE"/>
    <w:rsid w:val="007C062F"/>
    <w:rsid w:val="007C30FC"/>
    <w:rsid w:val="007C31C9"/>
    <w:rsid w:val="007C61C3"/>
    <w:rsid w:val="007C6F7F"/>
    <w:rsid w:val="007C7327"/>
    <w:rsid w:val="007C7543"/>
    <w:rsid w:val="007C7FFD"/>
    <w:rsid w:val="007E1C05"/>
    <w:rsid w:val="007E52DD"/>
    <w:rsid w:val="007E6EDD"/>
    <w:rsid w:val="007F54EF"/>
    <w:rsid w:val="008025F5"/>
    <w:rsid w:val="00802BD9"/>
    <w:rsid w:val="008059D9"/>
    <w:rsid w:val="00812D26"/>
    <w:rsid w:val="00820FF9"/>
    <w:rsid w:val="00831ADC"/>
    <w:rsid w:val="008329B2"/>
    <w:rsid w:val="00833940"/>
    <w:rsid w:val="008410C5"/>
    <w:rsid w:val="008518B6"/>
    <w:rsid w:val="00853B2D"/>
    <w:rsid w:val="008722D3"/>
    <w:rsid w:val="00872494"/>
    <w:rsid w:val="00894E56"/>
    <w:rsid w:val="008952B0"/>
    <w:rsid w:val="008A00A9"/>
    <w:rsid w:val="008A04D0"/>
    <w:rsid w:val="008A1930"/>
    <w:rsid w:val="008A2CE3"/>
    <w:rsid w:val="008B7474"/>
    <w:rsid w:val="008D499F"/>
    <w:rsid w:val="008D6E24"/>
    <w:rsid w:val="008E5B13"/>
    <w:rsid w:val="008F413C"/>
    <w:rsid w:val="008F5965"/>
    <w:rsid w:val="00901047"/>
    <w:rsid w:val="0092047D"/>
    <w:rsid w:val="009229C6"/>
    <w:rsid w:val="0092309D"/>
    <w:rsid w:val="0092618E"/>
    <w:rsid w:val="00934CFC"/>
    <w:rsid w:val="00934FCE"/>
    <w:rsid w:val="00941433"/>
    <w:rsid w:val="009431B1"/>
    <w:rsid w:val="00945BF2"/>
    <w:rsid w:val="009471FD"/>
    <w:rsid w:val="0095097F"/>
    <w:rsid w:val="00953999"/>
    <w:rsid w:val="00961F8C"/>
    <w:rsid w:val="009653BA"/>
    <w:rsid w:val="00974C27"/>
    <w:rsid w:val="009754B2"/>
    <w:rsid w:val="00987F30"/>
    <w:rsid w:val="00992502"/>
    <w:rsid w:val="00993280"/>
    <w:rsid w:val="00994F6A"/>
    <w:rsid w:val="009A475D"/>
    <w:rsid w:val="009A66A1"/>
    <w:rsid w:val="009B3A1C"/>
    <w:rsid w:val="009B7617"/>
    <w:rsid w:val="009C5C58"/>
    <w:rsid w:val="009D03E8"/>
    <w:rsid w:val="009D74D8"/>
    <w:rsid w:val="009D7788"/>
    <w:rsid w:val="009E1DA9"/>
    <w:rsid w:val="009E543A"/>
    <w:rsid w:val="009E6C4B"/>
    <w:rsid w:val="009F6684"/>
    <w:rsid w:val="009F6D02"/>
    <w:rsid w:val="00A1517F"/>
    <w:rsid w:val="00A1624C"/>
    <w:rsid w:val="00A166D5"/>
    <w:rsid w:val="00A17194"/>
    <w:rsid w:val="00A20637"/>
    <w:rsid w:val="00A2164E"/>
    <w:rsid w:val="00A26541"/>
    <w:rsid w:val="00A35867"/>
    <w:rsid w:val="00A3649A"/>
    <w:rsid w:val="00A44FC3"/>
    <w:rsid w:val="00A47E1E"/>
    <w:rsid w:val="00A55303"/>
    <w:rsid w:val="00A617C2"/>
    <w:rsid w:val="00A71B1C"/>
    <w:rsid w:val="00A71FC2"/>
    <w:rsid w:val="00A74560"/>
    <w:rsid w:val="00A7462E"/>
    <w:rsid w:val="00A75A45"/>
    <w:rsid w:val="00A809FF"/>
    <w:rsid w:val="00A81C5A"/>
    <w:rsid w:val="00A925EE"/>
    <w:rsid w:val="00A95A35"/>
    <w:rsid w:val="00AA09C1"/>
    <w:rsid w:val="00AA75D0"/>
    <w:rsid w:val="00AB12F1"/>
    <w:rsid w:val="00AB3FD1"/>
    <w:rsid w:val="00AB47A9"/>
    <w:rsid w:val="00AC735C"/>
    <w:rsid w:val="00AD15DB"/>
    <w:rsid w:val="00AD3A64"/>
    <w:rsid w:val="00AD4B11"/>
    <w:rsid w:val="00AE249A"/>
    <w:rsid w:val="00AF5691"/>
    <w:rsid w:val="00AF7B08"/>
    <w:rsid w:val="00B03E03"/>
    <w:rsid w:val="00B10B81"/>
    <w:rsid w:val="00B11003"/>
    <w:rsid w:val="00B12A20"/>
    <w:rsid w:val="00B13D1F"/>
    <w:rsid w:val="00B21C9C"/>
    <w:rsid w:val="00B221B5"/>
    <w:rsid w:val="00B22DEB"/>
    <w:rsid w:val="00B32EFF"/>
    <w:rsid w:val="00B3529F"/>
    <w:rsid w:val="00B444BB"/>
    <w:rsid w:val="00B50383"/>
    <w:rsid w:val="00B55B89"/>
    <w:rsid w:val="00B63CF0"/>
    <w:rsid w:val="00B74F2E"/>
    <w:rsid w:val="00B81FDC"/>
    <w:rsid w:val="00B84EF4"/>
    <w:rsid w:val="00B86E57"/>
    <w:rsid w:val="00BA1A26"/>
    <w:rsid w:val="00BB1FAA"/>
    <w:rsid w:val="00BB22B5"/>
    <w:rsid w:val="00BB3581"/>
    <w:rsid w:val="00BB6983"/>
    <w:rsid w:val="00BD102D"/>
    <w:rsid w:val="00BD4674"/>
    <w:rsid w:val="00BE1EB0"/>
    <w:rsid w:val="00BE488A"/>
    <w:rsid w:val="00BF1FE9"/>
    <w:rsid w:val="00C065C1"/>
    <w:rsid w:val="00C13A72"/>
    <w:rsid w:val="00C14A2A"/>
    <w:rsid w:val="00C166B9"/>
    <w:rsid w:val="00C253F4"/>
    <w:rsid w:val="00C27CA0"/>
    <w:rsid w:val="00C34F38"/>
    <w:rsid w:val="00C5241D"/>
    <w:rsid w:val="00C56562"/>
    <w:rsid w:val="00C6354E"/>
    <w:rsid w:val="00C64F71"/>
    <w:rsid w:val="00C66CBA"/>
    <w:rsid w:val="00C6740D"/>
    <w:rsid w:val="00C70F45"/>
    <w:rsid w:val="00C72E18"/>
    <w:rsid w:val="00C74D6D"/>
    <w:rsid w:val="00C83A84"/>
    <w:rsid w:val="00C84F94"/>
    <w:rsid w:val="00C8799F"/>
    <w:rsid w:val="00C97441"/>
    <w:rsid w:val="00C97AE0"/>
    <w:rsid w:val="00CA20D2"/>
    <w:rsid w:val="00CA344A"/>
    <w:rsid w:val="00CA3691"/>
    <w:rsid w:val="00CA7C59"/>
    <w:rsid w:val="00CB6E48"/>
    <w:rsid w:val="00CB7E8A"/>
    <w:rsid w:val="00CC70D0"/>
    <w:rsid w:val="00CE09FF"/>
    <w:rsid w:val="00CF2926"/>
    <w:rsid w:val="00D024BE"/>
    <w:rsid w:val="00D03895"/>
    <w:rsid w:val="00D12F76"/>
    <w:rsid w:val="00D15249"/>
    <w:rsid w:val="00D1604B"/>
    <w:rsid w:val="00D24AAE"/>
    <w:rsid w:val="00D26BA2"/>
    <w:rsid w:val="00D32F81"/>
    <w:rsid w:val="00D42468"/>
    <w:rsid w:val="00D672DC"/>
    <w:rsid w:val="00D73418"/>
    <w:rsid w:val="00D818C5"/>
    <w:rsid w:val="00D82A68"/>
    <w:rsid w:val="00D87B42"/>
    <w:rsid w:val="00D95D7D"/>
    <w:rsid w:val="00DA7818"/>
    <w:rsid w:val="00DB29A1"/>
    <w:rsid w:val="00DB2F7B"/>
    <w:rsid w:val="00DD63F2"/>
    <w:rsid w:val="00DE1473"/>
    <w:rsid w:val="00DE6A7E"/>
    <w:rsid w:val="00DF5BB5"/>
    <w:rsid w:val="00E310A8"/>
    <w:rsid w:val="00E434EC"/>
    <w:rsid w:val="00E5122C"/>
    <w:rsid w:val="00E51A28"/>
    <w:rsid w:val="00E52036"/>
    <w:rsid w:val="00E545AD"/>
    <w:rsid w:val="00E63E9C"/>
    <w:rsid w:val="00E63EF0"/>
    <w:rsid w:val="00E656E5"/>
    <w:rsid w:val="00E65D7C"/>
    <w:rsid w:val="00E66EFA"/>
    <w:rsid w:val="00E70E7A"/>
    <w:rsid w:val="00E73CD2"/>
    <w:rsid w:val="00E77FEE"/>
    <w:rsid w:val="00E810A2"/>
    <w:rsid w:val="00E82689"/>
    <w:rsid w:val="00E82C16"/>
    <w:rsid w:val="00E843A8"/>
    <w:rsid w:val="00E85878"/>
    <w:rsid w:val="00E86741"/>
    <w:rsid w:val="00E92D66"/>
    <w:rsid w:val="00E96506"/>
    <w:rsid w:val="00EC0D89"/>
    <w:rsid w:val="00EC6CC9"/>
    <w:rsid w:val="00ED0214"/>
    <w:rsid w:val="00ED6EFC"/>
    <w:rsid w:val="00EF21F9"/>
    <w:rsid w:val="00EF5570"/>
    <w:rsid w:val="00EF5B31"/>
    <w:rsid w:val="00F0144E"/>
    <w:rsid w:val="00F158CA"/>
    <w:rsid w:val="00F216B8"/>
    <w:rsid w:val="00F225CE"/>
    <w:rsid w:val="00F32CAF"/>
    <w:rsid w:val="00F33B95"/>
    <w:rsid w:val="00F4310B"/>
    <w:rsid w:val="00F43736"/>
    <w:rsid w:val="00F55490"/>
    <w:rsid w:val="00F64B27"/>
    <w:rsid w:val="00F815CC"/>
    <w:rsid w:val="00F85C55"/>
    <w:rsid w:val="00F9611E"/>
    <w:rsid w:val="00FA6B5F"/>
    <w:rsid w:val="00FA7297"/>
    <w:rsid w:val="00FB0DC8"/>
    <w:rsid w:val="00FB40BD"/>
    <w:rsid w:val="00FB5651"/>
    <w:rsid w:val="00FC3BF4"/>
    <w:rsid w:val="00FC45D8"/>
    <w:rsid w:val="00FD03C9"/>
    <w:rsid w:val="00FD0B42"/>
    <w:rsid w:val="00FD5448"/>
    <w:rsid w:val="00FD79A0"/>
    <w:rsid w:val="00FD7FC7"/>
    <w:rsid w:val="00FF6F0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04EE"/>
  <w15:docId w15:val="{15185A82-7B6F-44BF-A2A2-4B4D6137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47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table" w:styleId="Mkatabulky">
    <w:name w:val="Table Grid"/>
    <w:basedOn w:val="Normlntabulka"/>
    <w:uiPriority w:val="59"/>
    <w:rsid w:val="00C8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70290D"/>
    <w:pPr>
      <w:spacing w:after="0" w:line="240" w:lineRule="auto"/>
    </w:pPr>
    <w:rPr>
      <w:rFonts w:ascii="Cambria" w:eastAsia="Times New Roman" w:hAnsi="Cambria" w:cs="Times New Roman"/>
      <w:i/>
      <w:iCs/>
      <w:color w:val="4F81BD"/>
      <w:spacing w:val="15"/>
      <w:sz w:val="24"/>
      <w:szCs w:val="24"/>
      <w:lang w:eastAsia="cs-CZ"/>
    </w:rPr>
  </w:style>
  <w:style w:type="character" w:customStyle="1" w:styleId="PodnadpisChar">
    <w:name w:val="Podnadpis Char"/>
    <w:basedOn w:val="Standardnpsmoodstavce"/>
    <w:link w:val="Podnadpis"/>
    <w:rsid w:val="0070290D"/>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rsid w:val="00EC6CC9"/>
    <w:pPr>
      <w:ind w:left="720"/>
      <w:contextualSpacing/>
    </w:pPr>
  </w:style>
  <w:style w:type="paragraph" w:styleId="Textpoznpodarou">
    <w:name w:val="footnote text"/>
    <w:basedOn w:val="Normln"/>
    <w:link w:val="TextpoznpodarouChar"/>
    <w:uiPriority w:val="99"/>
    <w:unhideWhenUsed/>
    <w:rsid w:val="00FA7297"/>
    <w:pPr>
      <w:suppressAutoHyphens/>
      <w:spacing w:after="0" w:line="240" w:lineRule="auto"/>
    </w:pPr>
    <w:rPr>
      <w:rFonts w:ascii="Arial" w:eastAsia="Times New Roman" w:hAnsi="Arial" w:cs="Times New Roman"/>
      <w:sz w:val="20"/>
      <w:szCs w:val="20"/>
      <w:lang w:eastAsia="ar-SA"/>
    </w:rPr>
  </w:style>
  <w:style w:type="character" w:customStyle="1" w:styleId="TextpoznpodarouChar">
    <w:name w:val="Text pozn. pod čarou Char"/>
    <w:basedOn w:val="Standardnpsmoodstavce"/>
    <w:link w:val="Textpoznpodarou"/>
    <w:uiPriority w:val="99"/>
    <w:rsid w:val="00FA7297"/>
    <w:rPr>
      <w:rFonts w:ascii="Arial" w:eastAsia="Times New Roman" w:hAnsi="Arial" w:cs="Times New Roman"/>
      <w:sz w:val="20"/>
      <w:szCs w:val="20"/>
      <w:lang w:eastAsia="ar-SA"/>
    </w:rPr>
  </w:style>
  <w:style w:type="character" w:styleId="Znakapoznpodarou">
    <w:name w:val="footnote reference"/>
    <w:basedOn w:val="Standardnpsmoodstavce"/>
    <w:uiPriority w:val="99"/>
    <w:semiHidden/>
    <w:unhideWhenUsed/>
    <w:rsid w:val="00FA7297"/>
    <w:rPr>
      <w:vertAlign w:val="superscript"/>
    </w:rPr>
  </w:style>
  <w:style w:type="character" w:styleId="Odkaznakoment">
    <w:name w:val="annotation reference"/>
    <w:basedOn w:val="Standardnpsmoodstavce"/>
    <w:uiPriority w:val="99"/>
    <w:semiHidden/>
    <w:unhideWhenUsed/>
    <w:rsid w:val="00FA7297"/>
    <w:rPr>
      <w:sz w:val="16"/>
      <w:szCs w:val="16"/>
    </w:rPr>
  </w:style>
  <w:style w:type="paragraph" w:styleId="Prosttext">
    <w:name w:val="Plain Text"/>
    <w:basedOn w:val="Normln"/>
    <w:link w:val="ProsttextChar"/>
    <w:uiPriority w:val="99"/>
    <w:unhideWhenUsed/>
    <w:rsid w:val="00FA729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FA7297"/>
    <w:rPr>
      <w:rFonts w:ascii="Calibri" w:hAnsi="Calibri"/>
      <w:szCs w:val="21"/>
    </w:rPr>
  </w:style>
  <w:style w:type="paragraph" w:styleId="Textkomente">
    <w:name w:val="annotation text"/>
    <w:basedOn w:val="Normln"/>
    <w:link w:val="TextkomenteChar"/>
    <w:uiPriority w:val="99"/>
    <w:unhideWhenUsed/>
    <w:rsid w:val="00FA7297"/>
    <w:pPr>
      <w:suppressAutoHyphens/>
      <w:spacing w:after="0" w:line="240" w:lineRule="auto"/>
    </w:pPr>
    <w:rPr>
      <w:rFonts w:ascii="Arial" w:eastAsia="Times New Roman" w:hAnsi="Arial" w:cs="Times New Roman"/>
      <w:sz w:val="20"/>
      <w:szCs w:val="20"/>
      <w:lang w:eastAsia="ar-SA"/>
    </w:rPr>
  </w:style>
  <w:style w:type="character" w:customStyle="1" w:styleId="TextkomenteChar">
    <w:name w:val="Text komentáře Char"/>
    <w:basedOn w:val="Standardnpsmoodstavce"/>
    <w:link w:val="Textkomente"/>
    <w:uiPriority w:val="99"/>
    <w:rsid w:val="00FA7297"/>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87B42"/>
    <w:pPr>
      <w:suppressAutoHyphens w:val="0"/>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87B42"/>
    <w:rPr>
      <w:rFonts w:ascii="Arial" w:eastAsia="Times New Roman" w:hAnsi="Arial" w:cs="Times New Roman"/>
      <w:b/>
      <w:bCs/>
      <w:sz w:val="20"/>
      <w:szCs w:val="20"/>
      <w:lang w:eastAsia="ar-SA"/>
    </w:rPr>
  </w:style>
  <w:style w:type="paragraph" w:styleId="Normlnweb">
    <w:name w:val="Normal (Web)"/>
    <w:basedOn w:val="Normln"/>
    <w:uiPriority w:val="99"/>
    <w:semiHidden/>
    <w:unhideWhenUsed/>
    <w:rsid w:val="005C2A0E"/>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5C2A0E"/>
    <w:rPr>
      <w:b/>
      <w:bCs/>
    </w:rPr>
  </w:style>
  <w:style w:type="paragraph" w:customStyle="1" w:styleId="Nadpisoddlu">
    <w:name w:val="Nadpis oddílu"/>
    <w:basedOn w:val="Normln"/>
    <w:next w:val="Normln"/>
    <w:rsid w:val="00F85C55"/>
    <w:pPr>
      <w:keepNext/>
      <w:keepLines/>
      <w:spacing w:after="160" w:line="256" w:lineRule="auto"/>
      <w:jc w:val="center"/>
      <w:outlineLvl w:val="4"/>
    </w:pPr>
    <w:rPr>
      <w:b/>
    </w:rPr>
  </w:style>
  <w:style w:type="paragraph" w:customStyle="1" w:styleId="oddl">
    <w:name w:val="oddíl"/>
    <w:basedOn w:val="Normln"/>
    <w:next w:val="Normln"/>
    <w:rsid w:val="00F0144E"/>
    <w:pPr>
      <w:keepNext/>
      <w:spacing w:before="240" w:after="0" w:line="240" w:lineRule="auto"/>
      <w:jc w:val="center"/>
      <w:outlineLvl w:val="3"/>
    </w:pPr>
    <w:rPr>
      <w:rFonts w:ascii="Times New Roman" w:eastAsia="Times New Roman" w:hAnsi="Times New Roman" w:cs="Times New Roman"/>
      <w:noProof/>
      <w:sz w:val="24"/>
      <w:szCs w:val="24"/>
      <w:lang w:eastAsia="cs-CZ"/>
    </w:rPr>
  </w:style>
  <w:style w:type="character" w:styleId="Hypertextovodkaz">
    <w:name w:val="Hyperlink"/>
    <w:basedOn w:val="Standardnpsmoodstavce"/>
    <w:uiPriority w:val="99"/>
    <w:unhideWhenUsed/>
    <w:rsid w:val="001E2062"/>
    <w:rPr>
      <w:color w:val="0000FF" w:themeColor="hyperlink"/>
      <w:u w:val="single"/>
    </w:rPr>
  </w:style>
  <w:style w:type="paragraph" w:styleId="Revize">
    <w:name w:val="Revision"/>
    <w:hidden/>
    <w:uiPriority w:val="99"/>
    <w:semiHidden/>
    <w:rsid w:val="00E54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5985">
      <w:bodyDiv w:val="1"/>
      <w:marLeft w:val="0"/>
      <w:marRight w:val="0"/>
      <w:marTop w:val="0"/>
      <w:marBottom w:val="0"/>
      <w:divBdr>
        <w:top w:val="none" w:sz="0" w:space="0" w:color="auto"/>
        <w:left w:val="none" w:sz="0" w:space="0" w:color="auto"/>
        <w:bottom w:val="none" w:sz="0" w:space="0" w:color="auto"/>
        <w:right w:val="none" w:sz="0" w:space="0" w:color="auto"/>
      </w:divBdr>
    </w:div>
    <w:div w:id="209072678">
      <w:bodyDiv w:val="1"/>
      <w:marLeft w:val="0"/>
      <w:marRight w:val="0"/>
      <w:marTop w:val="0"/>
      <w:marBottom w:val="0"/>
      <w:divBdr>
        <w:top w:val="none" w:sz="0" w:space="0" w:color="auto"/>
        <w:left w:val="none" w:sz="0" w:space="0" w:color="auto"/>
        <w:bottom w:val="none" w:sz="0" w:space="0" w:color="auto"/>
        <w:right w:val="none" w:sz="0" w:space="0" w:color="auto"/>
      </w:divBdr>
    </w:div>
    <w:div w:id="278071145">
      <w:bodyDiv w:val="1"/>
      <w:marLeft w:val="0"/>
      <w:marRight w:val="0"/>
      <w:marTop w:val="0"/>
      <w:marBottom w:val="0"/>
      <w:divBdr>
        <w:top w:val="none" w:sz="0" w:space="0" w:color="auto"/>
        <w:left w:val="none" w:sz="0" w:space="0" w:color="auto"/>
        <w:bottom w:val="none" w:sz="0" w:space="0" w:color="auto"/>
        <w:right w:val="none" w:sz="0" w:space="0" w:color="auto"/>
      </w:divBdr>
    </w:div>
    <w:div w:id="302346389">
      <w:bodyDiv w:val="1"/>
      <w:marLeft w:val="0"/>
      <w:marRight w:val="0"/>
      <w:marTop w:val="0"/>
      <w:marBottom w:val="0"/>
      <w:divBdr>
        <w:top w:val="none" w:sz="0" w:space="0" w:color="auto"/>
        <w:left w:val="none" w:sz="0" w:space="0" w:color="auto"/>
        <w:bottom w:val="none" w:sz="0" w:space="0" w:color="auto"/>
        <w:right w:val="none" w:sz="0" w:space="0" w:color="auto"/>
      </w:divBdr>
    </w:div>
    <w:div w:id="318731040">
      <w:bodyDiv w:val="1"/>
      <w:marLeft w:val="0"/>
      <w:marRight w:val="0"/>
      <w:marTop w:val="0"/>
      <w:marBottom w:val="0"/>
      <w:divBdr>
        <w:top w:val="none" w:sz="0" w:space="0" w:color="auto"/>
        <w:left w:val="none" w:sz="0" w:space="0" w:color="auto"/>
        <w:bottom w:val="none" w:sz="0" w:space="0" w:color="auto"/>
        <w:right w:val="none" w:sz="0" w:space="0" w:color="auto"/>
      </w:divBdr>
    </w:div>
    <w:div w:id="346715553">
      <w:bodyDiv w:val="1"/>
      <w:marLeft w:val="0"/>
      <w:marRight w:val="0"/>
      <w:marTop w:val="0"/>
      <w:marBottom w:val="0"/>
      <w:divBdr>
        <w:top w:val="none" w:sz="0" w:space="0" w:color="auto"/>
        <w:left w:val="none" w:sz="0" w:space="0" w:color="auto"/>
        <w:bottom w:val="none" w:sz="0" w:space="0" w:color="auto"/>
        <w:right w:val="none" w:sz="0" w:space="0" w:color="auto"/>
      </w:divBdr>
    </w:div>
    <w:div w:id="354035841">
      <w:bodyDiv w:val="1"/>
      <w:marLeft w:val="0"/>
      <w:marRight w:val="0"/>
      <w:marTop w:val="0"/>
      <w:marBottom w:val="0"/>
      <w:divBdr>
        <w:top w:val="none" w:sz="0" w:space="0" w:color="auto"/>
        <w:left w:val="none" w:sz="0" w:space="0" w:color="auto"/>
        <w:bottom w:val="none" w:sz="0" w:space="0" w:color="auto"/>
        <w:right w:val="none" w:sz="0" w:space="0" w:color="auto"/>
      </w:divBdr>
    </w:div>
    <w:div w:id="462237457">
      <w:bodyDiv w:val="1"/>
      <w:marLeft w:val="0"/>
      <w:marRight w:val="0"/>
      <w:marTop w:val="0"/>
      <w:marBottom w:val="0"/>
      <w:divBdr>
        <w:top w:val="none" w:sz="0" w:space="0" w:color="auto"/>
        <w:left w:val="none" w:sz="0" w:space="0" w:color="auto"/>
        <w:bottom w:val="none" w:sz="0" w:space="0" w:color="auto"/>
        <w:right w:val="none" w:sz="0" w:space="0" w:color="auto"/>
      </w:divBdr>
    </w:div>
    <w:div w:id="579365849">
      <w:bodyDiv w:val="1"/>
      <w:marLeft w:val="0"/>
      <w:marRight w:val="0"/>
      <w:marTop w:val="0"/>
      <w:marBottom w:val="0"/>
      <w:divBdr>
        <w:top w:val="none" w:sz="0" w:space="0" w:color="auto"/>
        <w:left w:val="none" w:sz="0" w:space="0" w:color="auto"/>
        <w:bottom w:val="none" w:sz="0" w:space="0" w:color="auto"/>
        <w:right w:val="none" w:sz="0" w:space="0" w:color="auto"/>
      </w:divBdr>
    </w:div>
    <w:div w:id="71442493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75">
          <w:marLeft w:val="0"/>
          <w:marRight w:val="0"/>
          <w:marTop w:val="0"/>
          <w:marBottom w:val="0"/>
          <w:divBdr>
            <w:top w:val="none" w:sz="0" w:space="0" w:color="auto"/>
            <w:left w:val="none" w:sz="0" w:space="0" w:color="auto"/>
            <w:bottom w:val="none" w:sz="0" w:space="0" w:color="auto"/>
            <w:right w:val="none" w:sz="0" w:space="0" w:color="auto"/>
          </w:divBdr>
        </w:div>
        <w:div w:id="1470709354">
          <w:marLeft w:val="0"/>
          <w:marRight w:val="0"/>
          <w:marTop w:val="0"/>
          <w:marBottom w:val="0"/>
          <w:divBdr>
            <w:top w:val="none" w:sz="0" w:space="0" w:color="auto"/>
            <w:left w:val="none" w:sz="0" w:space="0" w:color="auto"/>
            <w:bottom w:val="none" w:sz="0" w:space="0" w:color="auto"/>
            <w:right w:val="none" w:sz="0" w:space="0" w:color="auto"/>
          </w:divBdr>
        </w:div>
        <w:div w:id="6370057">
          <w:marLeft w:val="0"/>
          <w:marRight w:val="0"/>
          <w:marTop w:val="0"/>
          <w:marBottom w:val="0"/>
          <w:divBdr>
            <w:top w:val="none" w:sz="0" w:space="0" w:color="auto"/>
            <w:left w:val="none" w:sz="0" w:space="0" w:color="auto"/>
            <w:bottom w:val="none" w:sz="0" w:space="0" w:color="auto"/>
            <w:right w:val="none" w:sz="0" w:space="0" w:color="auto"/>
          </w:divBdr>
        </w:div>
        <w:div w:id="24214875">
          <w:marLeft w:val="0"/>
          <w:marRight w:val="0"/>
          <w:marTop w:val="0"/>
          <w:marBottom w:val="0"/>
          <w:divBdr>
            <w:top w:val="none" w:sz="0" w:space="0" w:color="auto"/>
            <w:left w:val="none" w:sz="0" w:space="0" w:color="auto"/>
            <w:bottom w:val="none" w:sz="0" w:space="0" w:color="auto"/>
            <w:right w:val="none" w:sz="0" w:space="0" w:color="auto"/>
          </w:divBdr>
        </w:div>
        <w:div w:id="677468610">
          <w:marLeft w:val="0"/>
          <w:marRight w:val="0"/>
          <w:marTop w:val="0"/>
          <w:marBottom w:val="0"/>
          <w:divBdr>
            <w:top w:val="none" w:sz="0" w:space="0" w:color="auto"/>
            <w:left w:val="none" w:sz="0" w:space="0" w:color="auto"/>
            <w:bottom w:val="none" w:sz="0" w:space="0" w:color="auto"/>
            <w:right w:val="none" w:sz="0" w:space="0" w:color="auto"/>
          </w:divBdr>
        </w:div>
        <w:div w:id="308899121">
          <w:marLeft w:val="0"/>
          <w:marRight w:val="0"/>
          <w:marTop w:val="0"/>
          <w:marBottom w:val="0"/>
          <w:divBdr>
            <w:top w:val="none" w:sz="0" w:space="0" w:color="auto"/>
            <w:left w:val="none" w:sz="0" w:space="0" w:color="auto"/>
            <w:bottom w:val="none" w:sz="0" w:space="0" w:color="auto"/>
            <w:right w:val="none" w:sz="0" w:space="0" w:color="auto"/>
          </w:divBdr>
        </w:div>
      </w:divsChild>
    </w:div>
    <w:div w:id="920480454">
      <w:bodyDiv w:val="1"/>
      <w:marLeft w:val="0"/>
      <w:marRight w:val="0"/>
      <w:marTop w:val="0"/>
      <w:marBottom w:val="0"/>
      <w:divBdr>
        <w:top w:val="none" w:sz="0" w:space="0" w:color="auto"/>
        <w:left w:val="none" w:sz="0" w:space="0" w:color="auto"/>
        <w:bottom w:val="none" w:sz="0" w:space="0" w:color="auto"/>
        <w:right w:val="none" w:sz="0" w:space="0" w:color="auto"/>
      </w:divBdr>
    </w:div>
    <w:div w:id="1006176498">
      <w:bodyDiv w:val="1"/>
      <w:marLeft w:val="0"/>
      <w:marRight w:val="0"/>
      <w:marTop w:val="0"/>
      <w:marBottom w:val="0"/>
      <w:divBdr>
        <w:top w:val="none" w:sz="0" w:space="0" w:color="auto"/>
        <w:left w:val="none" w:sz="0" w:space="0" w:color="auto"/>
        <w:bottom w:val="none" w:sz="0" w:space="0" w:color="auto"/>
        <w:right w:val="none" w:sz="0" w:space="0" w:color="auto"/>
      </w:divBdr>
    </w:div>
    <w:div w:id="1017003584">
      <w:bodyDiv w:val="1"/>
      <w:marLeft w:val="0"/>
      <w:marRight w:val="0"/>
      <w:marTop w:val="0"/>
      <w:marBottom w:val="0"/>
      <w:divBdr>
        <w:top w:val="none" w:sz="0" w:space="0" w:color="auto"/>
        <w:left w:val="none" w:sz="0" w:space="0" w:color="auto"/>
        <w:bottom w:val="none" w:sz="0" w:space="0" w:color="auto"/>
        <w:right w:val="none" w:sz="0" w:space="0" w:color="auto"/>
      </w:divBdr>
    </w:div>
    <w:div w:id="1283422740">
      <w:bodyDiv w:val="1"/>
      <w:marLeft w:val="0"/>
      <w:marRight w:val="0"/>
      <w:marTop w:val="0"/>
      <w:marBottom w:val="0"/>
      <w:divBdr>
        <w:top w:val="none" w:sz="0" w:space="0" w:color="auto"/>
        <w:left w:val="none" w:sz="0" w:space="0" w:color="auto"/>
        <w:bottom w:val="none" w:sz="0" w:space="0" w:color="auto"/>
        <w:right w:val="none" w:sz="0" w:space="0" w:color="auto"/>
      </w:divBdr>
    </w:div>
    <w:div w:id="1292246742">
      <w:bodyDiv w:val="1"/>
      <w:marLeft w:val="0"/>
      <w:marRight w:val="0"/>
      <w:marTop w:val="0"/>
      <w:marBottom w:val="0"/>
      <w:divBdr>
        <w:top w:val="none" w:sz="0" w:space="0" w:color="auto"/>
        <w:left w:val="none" w:sz="0" w:space="0" w:color="auto"/>
        <w:bottom w:val="none" w:sz="0" w:space="0" w:color="auto"/>
        <w:right w:val="none" w:sz="0" w:space="0" w:color="auto"/>
      </w:divBdr>
    </w:div>
    <w:div w:id="1426999756">
      <w:bodyDiv w:val="1"/>
      <w:marLeft w:val="0"/>
      <w:marRight w:val="0"/>
      <w:marTop w:val="0"/>
      <w:marBottom w:val="0"/>
      <w:divBdr>
        <w:top w:val="none" w:sz="0" w:space="0" w:color="auto"/>
        <w:left w:val="none" w:sz="0" w:space="0" w:color="auto"/>
        <w:bottom w:val="none" w:sz="0" w:space="0" w:color="auto"/>
        <w:right w:val="none" w:sz="0" w:space="0" w:color="auto"/>
      </w:divBdr>
    </w:div>
    <w:div w:id="1537041835">
      <w:bodyDiv w:val="1"/>
      <w:marLeft w:val="0"/>
      <w:marRight w:val="0"/>
      <w:marTop w:val="0"/>
      <w:marBottom w:val="0"/>
      <w:divBdr>
        <w:top w:val="none" w:sz="0" w:space="0" w:color="auto"/>
        <w:left w:val="none" w:sz="0" w:space="0" w:color="auto"/>
        <w:bottom w:val="none" w:sz="0" w:space="0" w:color="auto"/>
        <w:right w:val="none" w:sz="0" w:space="0" w:color="auto"/>
      </w:divBdr>
    </w:div>
    <w:div w:id="1571649445">
      <w:bodyDiv w:val="1"/>
      <w:marLeft w:val="0"/>
      <w:marRight w:val="0"/>
      <w:marTop w:val="0"/>
      <w:marBottom w:val="0"/>
      <w:divBdr>
        <w:top w:val="none" w:sz="0" w:space="0" w:color="auto"/>
        <w:left w:val="none" w:sz="0" w:space="0" w:color="auto"/>
        <w:bottom w:val="none" w:sz="0" w:space="0" w:color="auto"/>
        <w:right w:val="none" w:sz="0" w:space="0" w:color="auto"/>
      </w:divBdr>
    </w:div>
    <w:div w:id="1740714161">
      <w:bodyDiv w:val="1"/>
      <w:marLeft w:val="0"/>
      <w:marRight w:val="0"/>
      <w:marTop w:val="0"/>
      <w:marBottom w:val="0"/>
      <w:divBdr>
        <w:top w:val="none" w:sz="0" w:space="0" w:color="auto"/>
        <w:left w:val="none" w:sz="0" w:space="0" w:color="auto"/>
        <w:bottom w:val="none" w:sz="0" w:space="0" w:color="auto"/>
        <w:right w:val="none" w:sz="0" w:space="0" w:color="auto"/>
      </w:divBdr>
    </w:div>
    <w:div w:id="1763717674">
      <w:bodyDiv w:val="1"/>
      <w:marLeft w:val="0"/>
      <w:marRight w:val="0"/>
      <w:marTop w:val="0"/>
      <w:marBottom w:val="0"/>
      <w:divBdr>
        <w:top w:val="none" w:sz="0" w:space="0" w:color="auto"/>
        <w:left w:val="none" w:sz="0" w:space="0" w:color="auto"/>
        <w:bottom w:val="none" w:sz="0" w:space="0" w:color="auto"/>
        <w:right w:val="none" w:sz="0" w:space="0" w:color="auto"/>
      </w:divBdr>
      <w:divsChild>
        <w:div w:id="932667066">
          <w:marLeft w:val="0"/>
          <w:marRight w:val="0"/>
          <w:marTop w:val="0"/>
          <w:marBottom w:val="0"/>
          <w:divBdr>
            <w:top w:val="none" w:sz="0" w:space="0" w:color="auto"/>
            <w:left w:val="none" w:sz="0" w:space="0" w:color="auto"/>
            <w:bottom w:val="none" w:sz="0" w:space="0" w:color="auto"/>
            <w:right w:val="none" w:sz="0" w:space="0" w:color="auto"/>
          </w:divBdr>
        </w:div>
        <w:div w:id="550069742">
          <w:marLeft w:val="0"/>
          <w:marRight w:val="0"/>
          <w:marTop w:val="0"/>
          <w:marBottom w:val="0"/>
          <w:divBdr>
            <w:top w:val="none" w:sz="0" w:space="0" w:color="auto"/>
            <w:left w:val="none" w:sz="0" w:space="0" w:color="auto"/>
            <w:bottom w:val="none" w:sz="0" w:space="0" w:color="auto"/>
            <w:right w:val="none" w:sz="0" w:space="0" w:color="auto"/>
          </w:divBdr>
        </w:div>
        <w:div w:id="299307976">
          <w:marLeft w:val="0"/>
          <w:marRight w:val="0"/>
          <w:marTop w:val="0"/>
          <w:marBottom w:val="0"/>
          <w:divBdr>
            <w:top w:val="none" w:sz="0" w:space="0" w:color="auto"/>
            <w:left w:val="none" w:sz="0" w:space="0" w:color="auto"/>
            <w:bottom w:val="none" w:sz="0" w:space="0" w:color="auto"/>
            <w:right w:val="none" w:sz="0" w:space="0" w:color="auto"/>
          </w:divBdr>
        </w:div>
      </w:divsChild>
    </w:div>
    <w:div w:id="1786728565">
      <w:bodyDiv w:val="1"/>
      <w:marLeft w:val="0"/>
      <w:marRight w:val="0"/>
      <w:marTop w:val="0"/>
      <w:marBottom w:val="0"/>
      <w:divBdr>
        <w:top w:val="none" w:sz="0" w:space="0" w:color="auto"/>
        <w:left w:val="none" w:sz="0" w:space="0" w:color="auto"/>
        <w:bottom w:val="none" w:sz="0" w:space="0" w:color="auto"/>
        <w:right w:val="none" w:sz="0" w:space="0" w:color="auto"/>
      </w:divBdr>
    </w:div>
    <w:div w:id="1797019560">
      <w:bodyDiv w:val="1"/>
      <w:marLeft w:val="0"/>
      <w:marRight w:val="0"/>
      <w:marTop w:val="0"/>
      <w:marBottom w:val="0"/>
      <w:divBdr>
        <w:top w:val="none" w:sz="0" w:space="0" w:color="auto"/>
        <w:left w:val="none" w:sz="0" w:space="0" w:color="auto"/>
        <w:bottom w:val="none" w:sz="0" w:space="0" w:color="auto"/>
        <w:right w:val="none" w:sz="0" w:space="0" w:color="auto"/>
      </w:divBdr>
    </w:div>
    <w:div w:id="2040928816">
      <w:bodyDiv w:val="1"/>
      <w:marLeft w:val="0"/>
      <w:marRight w:val="0"/>
      <w:marTop w:val="0"/>
      <w:marBottom w:val="0"/>
      <w:divBdr>
        <w:top w:val="none" w:sz="0" w:space="0" w:color="auto"/>
        <w:left w:val="none" w:sz="0" w:space="0" w:color="auto"/>
        <w:bottom w:val="none" w:sz="0" w:space="0" w:color="auto"/>
        <w:right w:val="none" w:sz="0" w:space="0" w:color="auto"/>
      </w:divBdr>
    </w:div>
    <w:div w:id="2118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adlova@spcr.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besta\Documents\Vlastn&#237;%20&#353;ablony%20Office\SPCR%20-%20Stanovisk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Sd&#237;len&#233;%20disky\SHP%20-%20intern&#237;\oblast%20Energetika%20a%20klima\5.%20Podklady%20ostatn&#237;%20-%20RHSD,%20intern&#237;,%20etc\2023_konsolida&#269;n&#237;%20bal&#237;&#269;ek%20a%20energetika,%20ceny\ceny%20CR%20ERU%202024%20vkp_31.1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d&#237;len&#233;%20disky\SHP%20-%20intern&#237;\oblast%20Energetika%20a%20klima\5.%20Podklady%20ostatn&#237;%20-%20RHSD,%20intern&#237;,%20etc\2023_konsolida&#269;n&#237;%20bal&#237;&#269;ek%20a%20energetika,%20ceny\ceny%20CR%20ERU%202024%20vkp_31.1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Cena pro zákazníky připojené k přepravní soustavě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List1!$C$26</c:f>
              <c:strCache>
                <c:ptCount val="1"/>
                <c:pt idx="0">
                  <c:v> Cena za rezervovanou pevnou přepravní kapacitu na dobu neurčitou (MWh/den)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List1!$D$24:$F$24</c:f>
              <c:numCache>
                <c:formatCode>General</c:formatCode>
                <c:ptCount val="3"/>
                <c:pt idx="0">
                  <c:v>2021</c:v>
                </c:pt>
                <c:pt idx="1">
                  <c:v>2023</c:v>
                </c:pt>
                <c:pt idx="2">
                  <c:v>2024</c:v>
                </c:pt>
              </c:numCache>
            </c:numRef>
          </c:cat>
          <c:val>
            <c:numRef>
              <c:f>List1!$D$26:$F$26</c:f>
              <c:numCache>
                <c:formatCode>#,##0.00</c:formatCode>
                <c:ptCount val="3"/>
                <c:pt idx="0">
                  <c:v>2112.21</c:v>
                </c:pt>
                <c:pt idx="1">
                  <c:v>3520.26</c:v>
                </c:pt>
                <c:pt idx="2">
                  <c:v>7894.44</c:v>
                </c:pt>
              </c:numCache>
            </c:numRef>
          </c:val>
          <c:extLst>
            <c:ext xmlns:c16="http://schemas.microsoft.com/office/drawing/2014/chart" uri="{C3380CC4-5D6E-409C-BE32-E72D297353CC}">
              <c16:uniqueId val="{00000000-0F48-4916-B7D3-7132E6406683}"/>
            </c:ext>
          </c:extLst>
        </c:ser>
        <c:dLbls>
          <c:showLegendKey val="0"/>
          <c:showVal val="0"/>
          <c:showCatName val="0"/>
          <c:showSerName val="0"/>
          <c:showPercent val="0"/>
          <c:showBubbleSize val="0"/>
        </c:dLbls>
        <c:gapWidth val="219"/>
        <c:overlap val="-27"/>
        <c:axId val="437809016"/>
        <c:axId val="437811968"/>
      </c:barChart>
      <c:catAx>
        <c:axId val="437809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7811968"/>
        <c:crosses val="autoZero"/>
        <c:auto val="1"/>
        <c:lblAlgn val="ctr"/>
        <c:lblOffset val="100"/>
        <c:noMultiLvlLbl val="0"/>
      </c:catAx>
      <c:valAx>
        <c:axId val="43781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7809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Distribuce</a:t>
            </a:r>
            <a:r>
              <a:rPr lang="cs-CZ" baseline="0"/>
              <a:t> GasNet pro největší zákazníky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List1!$C$33</c:f>
              <c:strCache>
                <c:ptCount val="1"/>
                <c:pt idx="0">
                  <c:v>Roční cena za denní
rezervovanou pevnou distribuční
kapacitu Crd [Kč/tis. m3]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List1!$D$32:$F$32</c:f>
              <c:numCache>
                <c:formatCode>General</c:formatCode>
                <c:ptCount val="3"/>
                <c:pt idx="0">
                  <c:v>2021</c:v>
                </c:pt>
                <c:pt idx="1">
                  <c:v>2023</c:v>
                </c:pt>
                <c:pt idx="2">
                  <c:v>2024</c:v>
                </c:pt>
              </c:numCache>
            </c:numRef>
          </c:cat>
          <c:val>
            <c:numRef>
              <c:f>List1!$D$33:$F$33</c:f>
              <c:numCache>
                <c:formatCode>0.00</c:formatCode>
                <c:ptCount val="3"/>
                <c:pt idx="0">
                  <c:v>111834.15</c:v>
                </c:pt>
                <c:pt idx="1">
                  <c:v>119637.5</c:v>
                </c:pt>
                <c:pt idx="2">
                  <c:v>170282.03</c:v>
                </c:pt>
              </c:numCache>
            </c:numRef>
          </c:val>
          <c:extLst>
            <c:ext xmlns:c16="http://schemas.microsoft.com/office/drawing/2014/chart" uri="{C3380CC4-5D6E-409C-BE32-E72D297353CC}">
              <c16:uniqueId val="{00000000-1FDC-4103-8625-8B17B95EFEC3}"/>
            </c:ext>
          </c:extLst>
        </c:ser>
        <c:dLbls>
          <c:showLegendKey val="0"/>
          <c:showVal val="0"/>
          <c:showCatName val="0"/>
          <c:showSerName val="0"/>
          <c:showPercent val="0"/>
          <c:showBubbleSize val="0"/>
        </c:dLbls>
        <c:gapWidth val="150"/>
        <c:axId val="443923384"/>
        <c:axId val="443924040"/>
      </c:barChart>
      <c:catAx>
        <c:axId val="44392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924040"/>
        <c:crosses val="autoZero"/>
        <c:auto val="1"/>
        <c:lblAlgn val="ctr"/>
        <c:lblOffset val="100"/>
        <c:noMultiLvlLbl val="0"/>
      </c:catAx>
      <c:valAx>
        <c:axId val="443924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923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1C0B-7449-42FE-BFEA-2E0E816F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SPCR - Stanovisko</Template>
  <TotalTime>229</TotalTime>
  <Pages>3</Pages>
  <Words>848</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ZS 2</cp:lastModifiedBy>
  <cp:revision>33</cp:revision>
  <cp:lastPrinted>2016-01-18T08:49:00Z</cp:lastPrinted>
  <dcterms:created xsi:type="dcterms:W3CDTF">2022-04-29T08:26:00Z</dcterms:created>
  <dcterms:modified xsi:type="dcterms:W3CDTF">2023-11-14T16:13:00Z</dcterms:modified>
</cp:coreProperties>
</file>