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B0182" w14:textId="77777777" w:rsidR="001D0D07" w:rsidRPr="00DB310D" w:rsidRDefault="00673C4F">
      <w:pPr>
        <w:tabs>
          <w:tab w:val="left" w:pos="5499"/>
        </w:tabs>
        <w:ind w:left="-106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11650F80">
          <v:group id="_x0000_s1026" style="width:184.15pt;height:107.95pt;mso-position-horizontal-relative:char;mso-position-vertical-relative:line" coordsize="3683,215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cid:image004.png@01D336B5.6B895860" style="position:absolute;width:1660;height:732">
              <v:imagedata r:id="rId5" o:title=""/>
            </v:shape>
            <v:shape id="_x0000_s1028" type="#_x0000_t75" style="position:absolute;left:394;top:767;width:1818;height:662">
              <v:imagedata r:id="rId6" o:title=""/>
            </v:shape>
            <v:shape id="_x0000_s1029" type="#_x0000_t75" style="position:absolute;left:1954;top:1486;width:1729;height:672">
              <v:imagedata r:id="rId7" o:title=""/>
            </v:shape>
            <w10:wrap type="none"/>
            <w10:anchorlock/>
          </v:group>
        </w:pict>
      </w:r>
      <w:r w:rsidR="001D0D07" w:rsidRPr="00DB310D">
        <w:rPr>
          <w:rFonts w:ascii="Times New Roman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28FD10F3">
          <v:group id="_x0000_s1030" style="width:207pt;height:108.55pt;mso-position-horizontal-relative:char;mso-position-vertical-relative:line" coordsize="4140,2171">
            <v:shape id="_x0000_s1031" type="#_x0000_t75" style="position:absolute;top:118;width:2573;height:480">
              <v:imagedata r:id="rId8" o:title=""/>
            </v:shape>
            <v:shape id="_x0000_s1032" type="#_x0000_t75" style="position:absolute;left:2689;width:1451;height:708">
              <v:imagedata r:id="rId9" o:title=""/>
            </v:shape>
            <v:shape id="_x0000_s1033" type="#_x0000_t75" style="position:absolute;left:2284;top:581;width:1486;height:810">
              <v:imagedata r:id="rId10" o:title=""/>
            </v:shape>
            <v:shape id="_x0000_s1034" type="#_x0000_t75" style="position:absolute;left:596;top:1461;width:1527;height:710">
              <v:imagedata r:id="rId11" o:title=""/>
            </v:shape>
            <w10:wrap type="none"/>
            <w10:anchorlock/>
          </v:group>
        </w:pict>
      </w:r>
    </w:p>
    <w:p w14:paraId="3A05B344" w14:textId="77777777" w:rsidR="001D0D07" w:rsidRPr="00DB310D" w:rsidRDefault="001D0D07">
      <w:pPr>
        <w:pStyle w:val="Zkladntext"/>
        <w:spacing w:before="1"/>
        <w:ind w:left="0" w:right="0"/>
        <w:jc w:val="left"/>
        <w:rPr>
          <w:rFonts w:ascii="Times New Roman"/>
          <w:sz w:val="18"/>
        </w:rPr>
      </w:pPr>
    </w:p>
    <w:p w14:paraId="07BB05C8" w14:textId="77777777" w:rsidR="001D0D07" w:rsidRPr="00DB310D" w:rsidRDefault="00673C4F">
      <w:pPr>
        <w:pStyle w:val="Nzev"/>
        <w:spacing w:before="56"/>
      </w:pPr>
      <w:r>
        <w:rPr>
          <w:noProof/>
          <w:lang w:val="cs-CZ" w:eastAsia="cs-CZ"/>
        </w:rPr>
        <w:pict w14:anchorId="0F7FF1F4">
          <v:shape id="image8.jpeg" o:spid="_x0000_s1035" type="#_x0000_t75" style="position:absolute;left:0;text-align:left;margin-left:135.2pt;margin-top:-114.1pt;width:79.2pt;height:24.35pt;z-index:-251662848;visibility:visible;mso-wrap-distance-left:0;mso-wrap-distance-right:0;mso-position-horizontal-relative:page">
            <v:imagedata r:id="rId12" o:title=""/>
            <w10:wrap anchorx="page"/>
          </v:shape>
        </w:pict>
      </w:r>
      <w:r>
        <w:rPr>
          <w:noProof/>
          <w:lang w:val="cs-CZ" w:eastAsia="cs-CZ"/>
        </w:rPr>
        <w:pict w14:anchorId="3A71CF8B">
          <v:shape id="image9.jpeg" o:spid="_x0000_s1036" type="#_x0000_t75" style="position:absolute;left:0;text-align:left;margin-left:222.05pt;margin-top:-112.55pt;width:97.55pt;height:27.85pt;z-index:-251661824;visibility:visible;mso-wrap-distance-left:0;mso-wrap-distance-right:0;mso-position-horizontal-relative:page">
            <v:imagedata r:id="rId13" o:title=""/>
            <w10:wrap anchorx="page"/>
          </v:shape>
        </w:pict>
      </w:r>
      <w:r>
        <w:rPr>
          <w:noProof/>
          <w:lang w:val="cs-CZ" w:eastAsia="cs-CZ"/>
        </w:rPr>
        <w:pict w14:anchorId="3B33E049">
          <v:shape id="image10.png" o:spid="_x0000_s1037" type="#_x0000_t75" style="position:absolute;left:0;text-align:left;margin-left:177.1pt;margin-top:-70.65pt;width:104.7pt;height:18.25pt;z-index:-251660800;visibility:visible;mso-wrap-distance-left:0;mso-wrap-distance-right:0;mso-position-horizontal-relative:page">
            <v:imagedata r:id="rId14" o:title=""/>
            <w10:wrap anchorx="page"/>
          </v:shape>
        </w:pict>
      </w:r>
      <w:r>
        <w:rPr>
          <w:noProof/>
          <w:lang w:val="cs-CZ" w:eastAsia="cs-CZ"/>
        </w:rPr>
        <w:pict w14:anchorId="503033B9">
          <v:shape id="image11.jpeg" o:spid="_x0000_s1038" type="#_x0000_t75" style="position:absolute;left:0;text-align:left;margin-left:295.25pt;margin-top:-74.75pt;width:138.25pt;height:24pt;z-index:-251659776;visibility:visible;mso-wrap-distance-left:0;mso-wrap-distance-right:0;mso-position-horizontal-relative:page">
            <v:imagedata r:id="rId15" o:title=""/>
            <w10:wrap anchorx="page"/>
          </v:shape>
        </w:pict>
      </w:r>
      <w:r>
        <w:rPr>
          <w:noProof/>
          <w:lang w:val="cs-CZ" w:eastAsia="cs-CZ"/>
        </w:rPr>
        <w:pict w14:anchorId="643D2CED">
          <v:shape id="image12.jpeg" o:spid="_x0000_s1039" type="#_x0000_t75" style="position:absolute;left:0;text-align:left;margin-left:60.15pt;margin-top:-36.1pt;width:75.9pt;height:22.1pt;z-index:-251658752;visibility:visible;mso-wrap-distance-left:0;mso-wrap-distance-right:0;mso-position-horizontal-relative:page">
            <v:imagedata r:id="rId16" o:title=""/>
            <w10:wrap anchorx="page"/>
          </v:shape>
        </w:pict>
      </w:r>
      <w:r>
        <w:rPr>
          <w:noProof/>
          <w:lang w:val="cs-CZ" w:eastAsia="cs-CZ"/>
        </w:rPr>
        <w:pict w14:anchorId="19F16F72">
          <v:shape id="image13.jpeg" o:spid="_x0000_s1040" type="#_x0000_t75" style="position:absolute;left:0;text-align:left;margin-left:237.9pt;margin-top:-38.25pt;width:109.15pt;height:21.75pt;z-index:-251657728;visibility:visible;mso-wrap-distance-left:0;mso-wrap-distance-right:0;mso-position-horizontal-relative:page">
            <v:imagedata r:id="rId17" o:title=""/>
            <w10:wrap anchorx="page"/>
          </v:shape>
        </w:pict>
      </w:r>
      <w:r>
        <w:rPr>
          <w:noProof/>
          <w:lang w:val="cs-CZ" w:eastAsia="cs-CZ"/>
        </w:rPr>
        <w:pict w14:anchorId="5E4D18BE">
          <v:shape id="image14.png" o:spid="_x0000_s1041" type="#_x0000_t75" alt="Obrázek obsahující grafické uživatelské rozhraní  Automaticky vygenerovaný popis" style="position:absolute;left:0;text-align:left;margin-left:435.85pt;margin-top:-40.9pt;width:94.2pt;height:27.3pt;z-index:-251656704;visibility:visible;mso-wrap-distance-left:0;mso-wrap-distance-right:0;mso-position-horizontal-relative:page">
            <v:imagedata r:id="rId18" o:title=""/>
            <w10:wrap anchorx="page"/>
          </v:shape>
        </w:pict>
      </w:r>
      <w:r w:rsidR="001D0D07">
        <w:rPr>
          <w:lang w:val="cs-CZ"/>
        </w:rPr>
        <w:t>Otevřené prohlášení energeticky náročných průmyslových odvětví</w:t>
      </w:r>
    </w:p>
    <w:p w14:paraId="2CD98779" w14:textId="77777777" w:rsidR="001D0D07" w:rsidRPr="00DB310D" w:rsidRDefault="001D0D07" w:rsidP="00BA0F4C">
      <w:pPr>
        <w:pStyle w:val="Nzev"/>
        <w:ind w:left="0" w:right="-20"/>
      </w:pPr>
      <w:r>
        <w:rPr>
          <w:lang w:val="cs-CZ"/>
        </w:rPr>
        <w:t>Hlasování výboru ENVI o systému obchodování s emisemi a mechanismu pro úpravu uhlíkových hranic</w:t>
      </w:r>
    </w:p>
    <w:p w14:paraId="302F012D" w14:textId="77777777" w:rsidR="001D0D07" w:rsidRPr="00BA0F4C" w:rsidRDefault="001D0D07">
      <w:pPr>
        <w:pStyle w:val="Zkladntext"/>
        <w:spacing w:before="180" w:line="259" w:lineRule="auto"/>
        <w:ind w:right="119"/>
        <w:rPr>
          <w:lang w:val="cs-CZ"/>
        </w:rPr>
      </w:pPr>
      <w:r>
        <w:rPr>
          <w:lang w:val="cs-CZ"/>
        </w:rPr>
        <w:t xml:space="preserve">Energeticky náročná odvětví (EII) zajišťují přímou práci přibližně 2,6 milionům lidí a představují základy kritických a strategických hodnotových řetězců pro hospodářství a společnost EU. Podporujeme cíle Evropské dohody Green </w:t>
      </w:r>
      <w:proofErr w:type="spellStart"/>
      <w:r>
        <w:rPr>
          <w:lang w:val="cs-CZ"/>
        </w:rPr>
        <w:t>Deal</w:t>
      </w:r>
      <w:proofErr w:type="spellEnd"/>
      <w:r>
        <w:rPr>
          <w:lang w:val="cs-CZ"/>
        </w:rPr>
        <w:t xml:space="preserve"> a společnosti v našich sektorech investují do konkrétních projektů napříč řadou technologických cest, aby dosáhly značného snížení emisí.</w:t>
      </w:r>
    </w:p>
    <w:p w14:paraId="164CFB7C" w14:textId="77777777" w:rsidR="001D0D07" w:rsidRPr="00BA0F4C" w:rsidRDefault="001D0D07">
      <w:pPr>
        <w:pStyle w:val="Zkladntext"/>
        <w:spacing w:before="161" w:line="259" w:lineRule="auto"/>
        <w:rPr>
          <w:lang w:val="cs-CZ"/>
        </w:rPr>
      </w:pPr>
      <w:r>
        <w:rPr>
          <w:lang w:val="cs-CZ"/>
        </w:rPr>
        <w:t>Zatímco klimatická transformace EU nabrala od ruského útoku na Ukrajinu také naléhavější a větší geopolitický rozměr, její krátkodobé až střednědobé provádění pro průmysl EU je náročnější než kdy jindy. Raketově rostoucí ceny energií, vysoká inflace, prudce rostoucí ceny za uhlík a nedostatek surovin jsou bezprecedentní problémy, které již vedly k omezení výroby a v blízké budoucnosti mohou další narušení způsobit zastavení výroby. Další hospodářský pokles, třetí za pouhé čtyři roky, se rýsuje.</w:t>
      </w:r>
      <w:smartTag w:uri="urn:schemas-microsoft-com:office:smarttags" w:element="country-region"/>
      <w:smartTag w:uri="urn:schemas-microsoft-com:office:smarttags" w:element="place"/>
    </w:p>
    <w:p w14:paraId="22587940" w14:textId="77777777" w:rsidR="001D0D07" w:rsidRPr="00BA0F4C" w:rsidRDefault="001D0D07">
      <w:pPr>
        <w:pStyle w:val="Zkladntext"/>
        <w:spacing w:before="158" w:line="259" w:lineRule="auto"/>
        <w:ind w:right="119"/>
        <w:rPr>
          <w:lang w:val="cs-CZ"/>
        </w:rPr>
      </w:pPr>
      <w:r>
        <w:rPr>
          <w:lang w:val="cs-CZ"/>
        </w:rPr>
        <w:t xml:space="preserve">V tomto novém kontextu je zásadní, aby implementace balíčku „Fit </w:t>
      </w:r>
      <w:proofErr w:type="spellStart"/>
      <w:r>
        <w:rPr>
          <w:lang w:val="cs-CZ"/>
        </w:rPr>
        <w:t>for</w:t>
      </w:r>
      <w:proofErr w:type="spellEnd"/>
      <w:r>
        <w:rPr>
          <w:lang w:val="cs-CZ"/>
        </w:rPr>
        <w:t xml:space="preserve"> 55“ a zejména systému obchodování s emisemi (ETS) a mechanismu pro úpravu uhlíkových hranic (CBAM) přineslo dohodnuté klimatické cíle pro rok 2030 a zároveň podpořilo investice společností a zachovalo efektivní opatření proti úniku uhlíku a předcházení nepřiměřeným nákladům, uzavírání kapacit a ztrátám pracovních míst. Vyšších ambicí v oblasti klimatu je třeba dosáhnout nákladově efektivně a musí je doprovázet posílená ochrana ohledně úniku uhlíku vůči mezinárodní konkurenci, která nepodléhá srovnatelným nákladům na uhlík, pokud má vůbec nějaké.</w:t>
      </w:r>
    </w:p>
    <w:p w14:paraId="37303E61" w14:textId="77777777" w:rsidR="001D0D07" w:rsidRPr="00BA0F4C" w:rsidRDefault="001D0D07">
      <w:pPr>
        <w:pStyle w:val="Zkladntext"/>
        <w:spacing w:before="158" w:line="259" w:lineRule="auto"/>
        <w:ind w:right="122"/>
        <w:rPr>
          <w:lang w:val="cs-CZ"/>
        </w:rPr>
      </w:pPr>
      <w:r>
        <w:rPr>
          <w:lang w:val="cs-CZ"/>
        </w:rPr>
        <w:t>V této souvislosti, s ohledem na nadcházející hlasování výboru ENVI plánované na 17. května, vyzýváme členy Evropského parlamentu, aby se zaměřili na:</w:t>
      </w:r>
    </w:p>
    <w:p w14:paraId="50D5D692" w14:textId="77777777" w:rsidR="001D0D07" w:rsidRPr="00BA0F4C" w:rsidRDefault="001D0D07">
      <w:pPr>
        <w:pStyle w:val="Odstavecseseznamem"/>
        <w:numPr>
          <w:ilvl w:val="0"/>
          <w:numId w:val="1"/>
        </w:numPr>
        <w:tabs>
          <w:tab w:val="left" w:pos="656"/>
        </w:tabs>
        <w:spacing w:before="160" w:line="259" w:lineRule="auto"/>
        <w:rPr>
          <w:lang w:val="cs-CZ"/>
        </w:rPr>
      </w:pPr>
      <w:r>
        <w:rPr>
          <w:b/>
          <w:bCs/>
          <w:lang w:val="cs-CZ"/>
        </w:rPr>
        <w:t>Realistická srovnávací kritéria:</w:t>
      </w:r>
      <w:r>
        <w:rPr>
          <w:lang w:val="cs-CZ"/>
        </w:rPr>
        <w:t xml:space="preserve"> srovnávací kritéria jsou již velmi přísná, protože jsou založena na průměru 10 % nejlepších. Měla by zůstat technicky a chemicky dosažitelná. Aktualizace produktových a nouzových srovnávacích kritérií by proto měla odrážet postupnou transformaci odvětví a zohledňovat celoevropskou dostupnost technologií, zdrojů (např. biomasa, elektřina a vodík) a související infrastruktury. Je třeba se vyhnout náhlému snížení hodnot srovnávacích kritérií v roce 2026 vzhledem k tomu, že alternativní technologie a/nebo základní zdroje energie a suroviny jsou stále velmi omezené.</w:t>
      </w:r>
    </w:p>
    <w:p w14:paraId="369575E2" w14:textId="77777777" w:rsidR="001D0D07" w:rsidRPr="00BA0F4C" w:rsidRDefault="001D0D07">
      <w:pPr>
        <w:pStyle w:val="Odstavecseseznamem"/>
        <w:numPr>
          <w:ilvl w:val="0"/>
          <w:numId w:val="1"/>
        </w:numPr>
        <w:tabs>
          <w:tab w:val="left" w:pos="656"/>
        </w:tabs>
        <w:spacing w:line="259" w:lineRule="auto"/>
        <w:ind w:right="116"/>
        <w:rPr>
          <w:lang w:val="cs-CZ"/>
        </w:rPr>
      </w:pPr>
      <w:r>
        <w:rPr>
          <w:b/>
          <w:bCs/>
          <w:lang w:val="cs-CZ"/>
        </w:rPr>
        <w:t>Dostatečná úroveň bezplatných povolenek:</w:t>
      </w:r>
      <w:r>
        <w:rPr>
          <w:lang w:val="cs-CZ"/>
        </w:rPr>
        <w:t xml:space="preserve"> jak již bylo všeobecně uznáváno, průmysl potřebuje dostatečnou právní předvídatelnost, aby mohl pokročit s významnými investicemi, které si klimatické změny vyžadují. Meziodvětvovému korekčnímu faktoru je proto třeba se vyhnout, protože snižuje bezplatné přidělování pod úroveň srovnávacích kritérií s nejlepšími výsledky. Toho lze dosáhnout zvýšením 3% flexibility mezi dražením a bezplatným přidělováním akcií a využitím povolenek z rezerv tržní stability.</w:t>
      </w:r>
    </w:p>
    <w:p w14:paraId="1ED82696" w14:textId="77777777" w:rsidR="001D0D07" w:rsidRPr="00BA0F4C" w:rsidRDefault="001D0D07">
      <w:pPr>
        <w:pStyle w:val="Odstavecseseznamem"/>
        <w:numPr>
          <w:ilvl w:val="0"/>
          <w:numId w:val="1"/>
        </w:numPr>
        <w:tabs>
          <w:tab w:val="left" w:pos="656"/>
        </w:tabs>
        <w:spacing w:line="259" w:lineRule="auto"/>
        <w:rPr>
          <w:lang w:val="cs-CZ"/>
        </w:rPr>
      </w:pPr>
      <w:r>
        <w:rPr>
          <w:b/>
          <w:bCs/>
          <w:lang w:val="cs-CZ"/>
        </w:rPr>
        <w:t>Opatrná interakce mezi ETS a CBAM:</w:t>
      </w:r>
      <w:r>
        <w:rPr>
          <w:lang w:val="cs-CZ"/>
        </w:rPr>
        <w:t xml:space="preserve"> bezplatné přidělování povolenek a případně kompenzace nepřímých nákladů se dosud do značné míry osvědčily jako účinná opatření proti úniku uhlíku. Cena za uhlík se však během pouhých čtyř let zvýšila o více než 700 % a dosáhla úrovně, kterou Komise předpokládala v posouzení dopadu až v roce 2030.</w:t>
      </w:r>
    </w:p>
    <w:p w14:paraId="654D06E8" w14:textId="77777777" w:rsidR="001D0D07" w:rsidRPr="00BA0F4C" w:rsidRDefault="001D0D07">
      <w:pPr>
        <w:spacing w:line="259" w:lineRule="auto"/>
        <w:jc w:val="both"/>
        <w:rPr>
          <w:lang w:val="cs-CZ"/>
        </w:rPr>
        <w:sectPr w:rsidR="001D0D07" w:rsidRPr="00BA0F4C">
          <w:type w:val="continuous"/>
          <w:pgSz w:w="11910" w:h="16840"/>
          <w:pgMar w:top="1220" w:right="1120" w:bottom="280" w:left="1020" w:header="708" w:footer="708" w:gutter="0"/>
          <w:cols w:space="708"/>
        </w:sectPr>
      </w:pPr>
    </w:p>
    <w:p w14:paraId="570ED7E2" w14:textId="77777777" w:rsidR="001D0D07" w:rsidRPr="00BA0F4C" w:rsidRDefault="001D0D07">
      <w:pPr>
        <w:pStyle w:val="Zkladntext"/>
        <w:spacing w:before="29" w:line="259" w:lineRule="auto"/>
        <w:ind w:left="655" w:right="119"/>
        <w:rPr>
          <w:lang w:val="cs-CZ"/>
        </w:rPr>
      </w:pPr>
      <w:r>
        <w:rPr>
          <w:lang w:val="cs-CZ"/>
        </w:rPr>
        <w:t>Až bude zaveden mechanismus CBAM, měl by zahrnovat řešení pro vývoz a měl by koexistovat se současným systémem bezplatného přidělování v plném rozsahu založeném na referenčních hodnotách v přechodném období do roku 2030, aby se otestovala jeho účinnost, zaměřily finanční zdroje společností na nízkouhlíkové investice a nedošlo k narušení trhu napříč hodnotovými řetězci. Jak již Komise navrhla, mechanismus CBAM, jež mají platit dovozci, zohlední bezplatné povolenky udělené průmyslu EU, čímž se zabrání případným rizikům dvojí ochrany.</w:t>
      </w:r>
    </w:p>
    <w:p w14:paraId="6F7CDEA0" w14:textId="77777777" w:rsidR="001D0D07" w:rsidRPr="00BA0F4C" w:rsidRDefault="001D0D07">
      <w:pPr>
        <w:pStyle w:val="Odstavecseseznamem"/>
        <w:numPr>
          <w:ilvl w:val="0"/>
          <w:numId w:val="1"/>
        </w:numPr>
        <w:tabs>
          <w:tab w:val="left" w:pos="656"/>
        </w:tabs>
        <w:spacing w:line="259" w:lineRule="auto"/>
        <w:rPr>
          <w:lang w:val="cs-CZ"/>
        </w:rPr>
      </w:pPr>
      <w:r>
        <w:rPr>
          <w:b/>
          <w:bCs/>
          <w:lang w:val="cs-CZ"/>
        </w:rPr>
        <w:t>Kritéria podmíněnosti přetížení:</w:t>
      </w:r>
      <w:r>
        <w:rPr>
          <w:lang w:val="cs-CZ"/>
        </w:rPr>
        <w:t xml:space="preserve"> srovnávací kritéria již poskytují systém bonusů/malusů, protože bezplatné přidělování se poskytuje pouze na úrovni 10 % nejlepších. Bezplatné přidělování by mělo zůstat podmíněno jediným kritériem vystavení riziku úniku uhlíku. Dodatečná kritéria podmíněnosti vytvářejí další administrativní a finanční zátěž a mohla by vytvořit podmínky pro naplnění rizika úniku uhlíku, kterému se mělo předcházet bezplatným přidělováním.</w:t>
      </w:r>
    </w:p>
    <w:p w14:paraId="2475A50D" w14:textId="77777777" w:rsidR="001D0D07" w:rsidRPr="00BA0F4C" w:rsidRDefault="001D0D07">
      <w:pPr>
        <w:pStyle w:val="Odstavecseseznamem"/>
        <w:numPr>
          <w:ilvl w:val="0"/>
          <w:numId w:val="1"/>
        </w:numPr>
        <w:tabs>
          <w:tab w:val="left" w:pos="656"/>
        </w:tabs>
        <w:spacing w:line="259" w:lineRule="auto"/>
        <w:ind w:right="120"/>
        <w:rPr>
          <w:lang w:val="cs-CZ"/>
        </w:rPr>
      </w:pPr>
      <w:r>
        <w:rPr>
          <w:b/>
          <w:bCs/>
          <w:lang w:val="cs-CZ"/>
        </w:rPr>
        <w:t>Efektivní opatření pro nepřímé náklady:</w:t>
      </w:r>
      <w:r>
        <w:rPr>
          <w:lang w:val="cs-CZ"/>
        </w:rPr>
        <w:t xml:space="preserve"> přímá a nepřímá elektrifikace představuje jedno z klíčových řešení pro transformaci průmyslu EU směrem k cíli klimatické neutrality. Vysoké ceny elektřiny jsou však hlavní překážkou takového procesu. V současnosti je ochrana před únikem uhlíku pro spotřebu elektřiny nedostatečná a roztříštěná napříč členskými státy EU. Proto je nezbytné zachovat nepřímou kompenzaci uhlíkových nákladů a zajistit účinnou ochranu ve všech členských státech EU.</w:t>
      </w:r>
    </w:p>
    <w:p w14:paraId="5049A030" w14:textId="77777777" w:rsidR="001D0D07" w:rsidRPr="00BA0F4C" w:rsidRDefault="001D0D07">
      <w:pPr>
        <w:pStyle w:val="Odstavecseseznamem"/>
        <w:numPr>
          <w:ilvl w:val="0"/>
          <w:numId w:val="1"/>
        </w:numPr>
        <w:tabs>
          <w:tab w:val="left" w:pos="656"/>
        </w:tabs>
        <w:spacing w:line="259" w:lineRule="auto"/>
        <w:rPr>
          <w:lang w:val="cs-CZ"/>
        </w:rPr>
      </w:pPr>
      <w:r>
        <w:rPr>
          <w:b/>
          <w:bCs/>
          <w:lang w:val="cs-CZ"/>
        </w:rPr>
        <w:t>Neúměrné náklady z rezerv tržní stability a změny základu:</w:t>
      </w:r>
      <w:r>
        <w:rPr>
          <w:lang w:val="cs-CZ"/>
        </w:rPr>
        <w:t xml:space="preserve"> klimatické ambice ETS EU budou definovány přísnějším stropem do roku 2030 prostřednictvím zvýšeného lineárního redukčního faktoru. Je třeba se vyhnout dalším opatřením, jako je jednorázové zrušení povolenek (změny základu) a přísnější pravidla rezerv tržní stability, protože vytvářejí umělý nedostatek na trhu s uhlíkem a dále zvyšují cenu za uhlík, zatímco podniky a domácnosti se potýkají s problémy raketově rostoucích nákladů za energii. Na základě zprávy ESMA o trhu s uhlíkem by měla být prozkoumána vhodná opatření ke zlepšení transparentnosti a řešení nadměrných cen za uhlík a finančních spekulací.</w:t>
      </w:r>
    </w:p>
    <w:p w14:paraId="339341AE" w14:textId="77777777" w:rsidR="001D0D07" w:rsidRPr="00BA0F4C" w:rsidRDefault="001D0D07">
      <w:pPr>
        <w:pStyle w:val="Zkladntext"/>
        <w:spacing w:before="155" w:line="259" w:lineRule="auto"/>
        <w:ind w:right="121"/>
        <w:rPr>
          <w:lang w:val="cs-CZ"/>
        </w:rPr>
      </w:pPr>
      <w:r>
        <w:rPr>
          <w:lang w:val="cs-CZ"/>
        </w:rPr>
        <w:t>Vyzýváme vás, abyste tyto připomínky vzali v úvahu při dokončování stanovisek s ohledem na hlasování výboru ENVI a doporučili nepodporovat pozměňovací návrhy, které nepředstavují realistický obchodní případ pro úspěšnou transformaci zpracovatelského průmyslu v Evropě.</w:t>
      </w:r>
      <w:smartTag w:uri="urn:schemas-microsoft-com:office:smarttags" w:element="place"/>
    </w:p>
    <w:p w14:paraId="334B8DCC" w14:textId="77777777" w:rsidR="001D0D07" w:rsidRPr="00BA0F4C" w:rsidRDefault="001D0D07">
      <w:pPr>
        <w:pStyle w:val="Zkladntext"/>
        <w:spacing w:before="160" w:line="259" w:lineRule="auto"/>
        <w:ind w:right="119"/>
        <w:rPr>
          <w:lang w:val="cs-CZ"/>
        </w:rPr>
      </w:pPr>
      <w:r>
        <w:rPr>
          <w:lang w:val="cs-CZ"/>
        </w:rPr>
        <w:t xml:space="preserve">Jak bylo zdůrazněno v „Hlavním plánu pro konkurenceschopnou transformaci evropských průmyslových odvětví umožňující klimaticky neutrální oběhové hospodářství do roku 2030“, úspěšné nasazení průlomových technologií vyžaduje tři klíčové podmínky, zejména (1) přístup k bohaté a konkurenceschopné nízkouhlíkové energii a vstupní suroviny, (2) finanční podporu pro </w:t>
      </w:r>
      <w:proofErr w:type="spellStart"/>
      <w:r>
        <w:rPr>
          <w:lang w:val="cs-CZ"/>
        </w:rPr>
        <w:t>upgrading</w:t>
      </w:r>
      <w:proofErr w:type="spellEnd"/>
      <w:r>
        <w:rPr>
          <w:lang w:val="cs-CZ"/>
        </w:rPr>
        <w:t xml:space="preserve"> a zavádění takových technologií a (3) podpůrný regulační rámec, který vytváří vedoucí trhy pro nízkouhlíková řešení a zároveň zachovává konkurenceschopnost průmyslových odvětví, která jsou vystavena velké celosvětové konkurenci.</w:t>
      </w:r>
    </w:p>
    <w:p w14:paraId="748B9FED" w14:textId="77777777" w:rsidR="001D0D07" w:rsidRPr="00BA0F4C" w:rsidRDefault="00673C4F">
      <w:pPr>
        <w:pStyle w:val="Zkladntext"/>
        <w:spacing w:before="158" w:line="259" w:lineRule="auto"/>
        <w:ind w:right="118"/>
        <w:rPr>
          <w:lang w:val="cs-CZ"/>
        </w:rPr>
      </w:pPr>
      <w:r>
        <w:rPr>
          <w:noProof/>
          <w:lang w:val="cs-CZ" w:eastAsia="cs-CZ"/>
        </w:rPr>
        <w:pict w14:anchorId="4EBB10EE">
          <v:shape id="image15.jpeg" o:spid="_x0000_s1042" type="#_x0000_t75" style="position:absolute;left:0;text-align:left;margin-left:318.35pt;margin-top:47.3pt;width:52.3pt;height:37.6pt;z-index:-251655680;visibility:visible;mso-wrap-distance-left:0;mso-wrap-distance-right:0;mso-position-horizontal-relative:page">
            <v:imagedata r:id="rId19" o:title=""/>
            <w10:wrap anchorx="page"/>
          </v:shape>
        </w:pict>
      </w:r>
      <w:r w:rsidR="001D0D07">
        <w:rPr>
          <w:lang w:val="cs-CZ"/>
        </w:rPr>
        <w:t>Nadále jsme odhodláni poskytovat silnou podporu rozvoji politik, které skutečně umožňují konkurenční přechod ke klimatické neutralitě.</w:t>
      </w:r>
    </w:p>
    <w:p w14:paraId="2B83389E" w14:textId="77777777" w:rsidR="001D0D07" w:rsidRPr="00BA0F4C" w:rsidRDefault="001D0D07">
      <w:pPr>
        <w:pStyle w:val="Zkladntext"/>
        <w:spacing w:before="8"/>
        <w:ind w:left="0" w:right="0"/>
        <w:jc w:val="left"/>
        <w:rPr>
          <w:sz w:val="15"/>
          <w:lang w:val="cs-CZ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8"/>
        <w:gridCol w:w="1756"/>
        <w:gridCol w:w="1742"/>
        <w:gridCol w:w="1828"/>
        <w:gridCol w:w="1851"/>
      </w:tblGrid>
      <w:tr w:rsidR="001D0D07" w14:paraId="79677427" w14:textId="77777777">
        <w:trPr>
          <w:trHeight w:val="1267"/>
        </w:trPr>
        <w:tc>
          <w:tcPr>
            <w:tcW w:w="1618" w:type="dxa"/>
          </w:tcPr>
          <w:p w14:paraId="641FC011" w14:textId="77777777" w:rsidR="001D0D07" w:rsidRPr="00DB310D" w:rsidRDefault="00BE08EF">
            <w:pPr>
              <w:pStyle w:val="TableParagraph"/>
              <w:ind w:left="234"/>
              <w:rPr>
                <w:sz w:val="20"/>
              </w:rPr>
            </w:pPr>
            <w:r>
              <w:rPr>
                <w:noProof/>
                <w:sz w:val="20"/>
                <w:lang w:val="cs-CZ" w:eastAsia="cs-CZ"/>
              </w:rPr>
              <w:pict w14:anchorId="7985677A">
                <v:shape id="image17.png" o:spid="_x0000_i1027" type="#_x0000_t75" style="width:55.5pt;height:24.75pt;visibility:visible">
                  <v:imagedata r:id="rId20" o:title=""/>
                </v:shape>
              </w:pict>
            </w:r>
          </w:p>
          <w:p w14:paraId="31182EA2" w14:textId="77777777" w:rsidR="001D0D07" w:rsidRPr="00DB310D" w:rsidRDefault="001D0D07" w:rsidP="00BA0F4C">
            <w:pPr>
              <w:pStyle w:val="TableParagraph"/>
              <w:spacing w:before="13"/>
              <w:ind w:left="200" w:right="87"/>
              <w:rPr>
                <w:sz w:val="16"/>
              </w:rPr>
            </w:pPr>
            <w:r>
              <w:rPr>
                <w:sz w:val="16"/>
                <w:szCs w:val="16"/>
                <w:lang w:val="cs-CZ"/>
              </w:rPr>
              <w:t xml:space="preserve">Marco </w:t>
            </w:r>
            <w:proofErr w:type="spellStart"/>
            <w:r>
              <w:rPr>
                <w:sz w:val="16"/>
                <w:szCs w:val="16"/>
                <w:lang w:val="cs-CZ"/>
              </w:rPr>
              <w:t>Mensink</w:t>
            </w:r>
            <w:proofErr w:type="spellEnd"/>
            <w:r>
              <w:rPr>
                <w:sz w:val="16"/>
                <w:szCs w:val="16"/>
                <w:lang w:val="cs-CZ"/>
              </w:rPr>
              <w:br/>
              <w:t>Generální ředitel CEFIC</w:t>
            </w:r>
          </w:p>
        </w:tc>
        <w:tc>
          <w:tcPr>
            <w:tcW w:w="1756" w:type="dxa"/>
          </w:tcPr>
          <w:p w14:paraId="07C1CA42" w14:textId="77777777" w:rsidR="001D0D07" w:rsidRPr="00DB310D" w:rsidRDefault="00BE08EF">
            <w:pPr>
              <w:pStyle w:val="TableParagraph"/>
              <w:ind w:left="26"/>
              <w:rPr>
                <w:sz w:val="20"/>
              </w:rPr>
            </w:pPr>
            <w:r>
              <w:rPr>
                <w:noProof/>
                <w:sz w:val="20"/>
                <w:lang w:val="cs-CZ" w:eastAsia="cs-CZ"/>
              </w:rPr>
              <w:pict w14:anchorId="0DDFBE8A">
                <v:shape id="image18.jpeg" o:spid="_x0000_i1028" type="#_x0000_t75" alt="Coppenholle 1.jpg" style="width:84pt;height:25.5pt;visibility:visible">
                  <v:imagedata r:id="rId21" o:title=""/>
                </v:shape>
              </w:pict>
            </w:r>
          </w:p>
          <w:p w14:paraId="3078EB71" w14:textId="77777777" w:rsidR="001D0D07" w:rsidRPr="00DB310D" w:rsidRDefault="001D0D07">
            <w:pPr>
              <w:pStyle w:val="TableParagraph"/>
              <w:spacing w:before="5"/>
              <w:ind w:left="58" w:right="503"/>
              <w:rPr>
                <w:sz w:val="16"/>
              </w:rPr>
            </w:pPr>
            <w:proofErr w:type="spellStart"/>
            <w:r>
              <w:rPr>
                <w:sz w:val="16"/>
                <w:szCs w:val="16"/>
                <w:lang w:val="cs-CZ"/>
              </w:rPr>
              <w:t>Koen</w:t>
            </w:r>
            <w:proofErr w:type="spellEnd"/>
            <w:r>
              <w:rPr>
                <w:sz w:val="16"/>
                <w:szCs w:val="16"/>
                <w:lang w:val="cs-CZ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cs-CZ"/>
              </w:rPr>
              <w:t>Coppenholle</w:t>
            </w:r>
            <w:proofErr w:type="spellEnd"/>
            <w:r>
              <w:rPr>
                <w:sz w:val="16"/>
                <w:szCs w:val="16"/>
                <w:lang w:val="cs-CZ"/>
              </w:rPr>
              <w:br/>
              <w:t>Výkonný ředitel CEMBUREAU</w:t>
            </w:r>
          </w:p>
        </w:tc>
        <w:tc>
          <w:tcPr>
            <w:tcW w:w="1742" w:type="dxa"/>
          </w:tcPr>
          <w:p w14:paraId="29ED2100" w14:textId="77777777" w:rsidR="001D0D07" w:rsidRPr="00DB310D" w:rsidRDefault="001D0D07">
            <w:pPr>
              <w:pStyle w:val="TableParagraph"/>
              <w:spacing w:before="10"/>
              <w:rPr>
                <w:sz w:val="7"/>
              </w:rPr>
            </w:pPr>
          </w:p>
          <w:p w14:paraId="0917B367" w14:textId="77777777" w:rsidR="001D0D07" w:rsidRPr="00DB310D" w:rsidRDefault="00BE08EF">
            <w:pPr>
              <w:pStyle w:val="TableParagraph"/>
              <w:ind w:left="140"/>
              <w:rPr>
                <w:sz w:val="20"/>
              </w:rPr>
            </w:pPr>
            <w:r>
              <w:rPr>
                <w:noProof/>
                <w:sz w:val="20"/>
                <w:lang w:val="cs-CZ" w:eastAsia="cs-CZ"/>
              </w:rPr>
              <w:pict w14:anchorId="5B9D7A7D">
                <v:shape id="image19.png" o:spid="_x0000_i1029" type="#_x0000_t75" style="width:55.5pt;height:13.5pt;visibility:visible">
                  <v:imagedata r:id="rId22" o:title=""/>
                </v:shape>
              </w:pict>
            </w:r>
          </w:p>
          <w:p w14:paraId="6D4A24F2" w14:textId="77777777" w:rsidR="001D0D07" w:rsidRPr="00DB310D" w:rsidRDefault="001D0D07">
            <w:pPr>
              <w:pStyle w:val="TableParagraph"/>
              <w:spacing w:before="4"/>
              <w:rPr>
                <w:sz w:val="13"/>
              </w:rPr>
            </w:pPr>
          </w:p>
          <w:p w14:paraId="50785066" w14:textId="77777777" w:rsidR="001D0D07" w:rsidRPr="00DB310D" w:rsidRDefault="001D0D07" w:rsidP="00BA0F4C">
            <w:pPr>
              <w:pStyle w:val="TableParagraph"/>
              <w:ind w:left="47" w:right="395"/>
              <w:rPr>
                <w:sz w:val="16"/>
              </w:rPr>
            </w:pPr>
            <w:proofErr w:type="spellStart"/>
            <w:r>
              <w:rPr>
                <w:sz w:val="16"/>
                <w:szCs w:val="16"/>
                <w:lang w:val="cs-CZ"/>
              </w:rPr>
              <w:t>Jori</w:t>
            </w:r>
            <w:proofErr w:type="spellEnd"/>
            <w:r>
              <w:rPr>
                <w:sz w:val="16"/>
                <w:szCs w:val="16"/>
                <w:lang w:val="cs-CZ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cs-CZ"/>
              </w:rPr>
              <w:t>Ringman</w:t>
            </w:r>
            <w:proofErr w:type="spellEnd"/>
            <w:r>
              <w:rPr>
                <w:sz w:val="16"/>
                <w:szCs w:val="16"/>
                <w:lang w:val="cs-CZ"/>
              </w:rPr>
              <w:br/>
              <w:t>Generální ředitel CEPI</w:t>
            </w:r>
          </w:p>
        </w:tc>
        <w:tc>
          <w:tcPr>
            <w:tcW w:w="1828" w:type="dxa"/>
          </w:tcPr>
          <w:p w14:paraId="32B135E4" w14:textId="77777777" w:rsidR="001D0D07" w:rsidRPr="00DB310D" w:rsidRDefault="001D0D07">
            <w:pPr>
              <w:pStyle w:val="TableParagraph"/>
              <w:rPr>
                <w:sz w:val="16"/>
              </w:rPr>
            </w:pPr>
          </w:p>
          <w:p w14:paraId="536D47B0" w14:textId="77777777" w:rsidR="001D0D07" w:rsidRPr="00DB310D" w:rsidRDefault="001D0D07">
            <w:pPr>
              <w:pStyle w:val="TableParagraph"/>
              <w:rPr>
                <w:sz w:val="16"/>
              </w:rPr>
            </w:pPr>
          </w:p>
          <w:p w14:paraId="22641F4E" w14:textId="77777777" w:rsidR="001D0D07" w:rsidRPr="00DB310D" w:rsidRDefault="001D0D07">
            <w:pPr>
              <w:pStyle w:val="TableParagraph"/>
              <w:spacing w:before="1"/>
              <w:rPr>
                <w:sz w:val="16"/>
              </w:rPr>
            </w:pPr>
          </w:p>
          <w:p w14:paraId="7611AA2E" w14:textId="77777777" w:rsidR="001D0D07" w:rsidRPr="00BA0F4C" w:rsidRDefault="001D0D07" w:rsidP="00BA0F4C">
            <w:pPr>
              <w:pStyle w:val="TableParagraph"/>
              <w:ind w:left="55" w:right="463"/>
              <w:rPr>
                <w:sz w:val="16"/>
                <w:lang w:val="es-ES"/>
              </w:rPr>
            </w:pPr>
            <w:proofErr w:type="spellStart"/>
            <w:r>
              <w:rPr>
                <w:sz w:val="16"/>
                <w:szCs w:val="16"/>
                <w:lang w:val="cs-CZ"/>
              </w:rPr>
              <w:t>Renaud</w:t>
            </w:r>
            <w:proofErr w:type="spellEnd"/>
            <w:r>
              <w:rPr>
                <w:sz w:val="16"/>
                <w:szCs w:val="16"/>
                <w:lang w:val="cs-CZ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cs-CZ"/>
              </w:rPr>
              <w:t>Batier</w:t>
            </w:r>
            <w:proofErr w:type="spellEnd"/>
            <w:r>
              <w:rPr>
                <w:sz w:val="16"/>
                <w:szCs w:val="16"/>
                <w:lang w:val="cs-CZ"/>
              </w:rPr>
              <w:br/>
              <w:t>Generální ředitel CERAMEUNIE</w:t>
            </w:r>
          </w:p>
        </w:tc>
        <w:tc>
          <w:tcPr>
            <w:tcW w:w="1851" w:type="dxa"/>
          </w:tcPr>
          <w:p w14:paraId="1EBAA56B" w14:textId="77777777" w:rsidR="001D0D07" w:rsidRPr="00BA0F4C" w:rsidRDefault="001D0D07">
            <w:pPr>
              <w:pStyle w:val="TableParagraph"/>
              <w:spacing w:before="6"/>
              <w:rPr>
                <w:sz w:val="9"/>
                <w:lang w:val="es-ES"/>
              </w:rPr>
            </w:pPr>
          </w:p>
          <w:p w14:paraId="7968B357" w14:textId="77777777" w:rsidR="001D0D07" w:rsidRPr="00DB310D" w:rsidRDefault="00BE08EF">
            <w:pPr>
              <w:pStyle w:val="TableParagraph"/>
              <w:ind w:left="314"/>
              <w:rPr>
                <w:sz w:val="20"/>
              </w:rPr>
            </w:pPr>
            <w:r>
              <w:rPr>
                <w:noProof/>
                <w:sz w:val="20"/>
                <w:lang w:val="cs-CZ" w:eastAsia="cs-CZ"/>
              </w:rPr>
              <w:pict w14:anchorId="4370FCC1">
                <v:shape id="image20.png" o:spid="_x0000_i1030" type="#_x0000_t75" style="width:64.5pt;height:19.5pt;visibility:visible">
                  <v:imagedata r:id="rId23" o:title=""/>
                </v:shape>
              </w:pict>
            </w:r>
          </w:p>
          <w:p w14:paraId="40B4F6A8" w14:textId="77777777" w:rsidR="001D0D07" w:rsidRPr="00DB310D" w:rsidRDefault="001D0D07" w:rsidP="00BA0F4C">
            <w:pPr>
              <w:pStyle w:val="TableParagraph"/>
              <w:spacing w:before="75"/>
              <w:ind w:left="380" w:right="114"/>
              <w:rPr>
                <w:sz w:val="16"/>
              </w:rPr>
            </w:pPr>
            <w:proofErr w:type="spellStart"/>
            <w:r>
              <w:rPr>
                <w:sz w:val="16"/>
                <w:szCs w:val="16"/>
                <w:lang w:val="cs-CZ"/>
              </w:rPr>
              <w:t>Rodolphe</w:t>
            </w:r>
            <w:proofErr w:type="spellEnd"/>
            <w:r>
              <w:rPr>
                <w:sz w:val="16"/>
                <w:szCs w:val="16"/>
                <w:lang w:val="cs-CZ"/>
              </w:rPr>
              <w:t xml:space="preserve"> Nicolle</w:t>
            </w:r>
            <w:r>
              <w:rPr>
                <w:sz w:val="16"/>
                <w:szCs w:val="16"/>
                <w:lang w:val="cs-CZ"/>
              </w:rPr>
              <w:br/>
              <w:t>Generální tajemník EULA</w:t>
            </w:r>
          </w:p>
        </w:tc>
      </w:tr>
      <w:tr w:rsidR="001D0D07" w14:paraId="30BF5350" w14:textId="77777777">
        <w:trPr>
          <w:trHeight w:val="1231"/>
        </w:trPr>
        <w:tc>
          <w:tcPr>
            <w:tcW w:w="1618" w:type="dxa"/>
          </w:tcPr>
          <w:p w14:paraId="10DFF64E" w14:textId="77777777" w:rsidR="001D0D07" w:rsidRPr="00DB310D" w:rsidRDefault="001D0D07">
            <w:pPr>
              <w:pStyle w:val="TableParagraph"/>
              <w:spacing w:before="1"/>
              <w:rPr>
                <w:sz w:val="8"/>
              </w:rPr>
            </w:pPr>
          </w:p>
          <w:p w14:paraId="7AF8C4CE" w14:textId="77777777" w:rsidR="001D0D07" w:rsidRPr="00DB310D" w:rsidRDefault="00BE08EF">
            <w:pPr>
              <w:pStyle w:val="TableParagraph"/>
              <w:ind w:left="257" w:right="-29"/>
              <w:rPr>
                <w:sz w:val="20"/>
              </w:rPr>
            </w:pPr>
            <w:r>
              <w:rPr>
                <w:noProof/>
                <w:sz w:val="20"/>
                <w:lang w:val="cs-CZ" w:eastAsia="cs-CZ"/>
              </w:rPr>
              <w:pict w14:anchorId="609D4ECE">
                <v:shape id="image21.jpeg" o:spid="_x0000_i1031" type="#_x0000_t75" style="width:66.75pt;height:18pt;visibility:visible">
                  <v:imagedata r:id="rId24" o:title=""/>
                </v:shape>
              </w:pict>
            </w:r>
          </w:p>
          <w:p w14:paraId="34A31510" w14:textId="77777777" w:rsidR="001D0D07" w:rsidRPr="00DB310D" w:rsidRDefault="001D0D07" w:rsidP="00BA0F4C">
            <w:pPr>
              <w:pStyle w:val="TableParagraph"/>
              <w:ind w:left="200" w:right="87"/>
              <w:rPr>
                <w:sz w:val="16"/>
              </w:rPr>
            </w:pPr>
            <w:r>
              <w:rPr>
                <w:sz w:val="16"/>
                <w:szCs w:val="16"/>
                <w:lang w:val="cs-CZ"/>
              </w:rPr>
              <w:t xml:space="preserve">Ines </w:t>
            </w:r>
            <w:proofErr w:type="spellStart"/>
            <w:r>
              <w:rPr>
                <w:sz w:val="16"/>
                <w:szCs w:val="16"/>
                <w:lang w:val="cs-CZ"/>
              </w:rPr>
              <w:t>Vanlierde</w:t>
            </w:r>
            <w:proofErr w:type="spellEnd"/>
            <w:r>
              <w:rPr>
                <w:sz w:val="16"/>
                <w:szCs w:val="16"/>
                <w:lang w:val="cs-CZ"/>
              </w:rPr>
              <w:br/>
              <w:t>Generální tajemník EUROALLIAGES</w:t>
            </w:r>
          </w:p>
        </w:tc>
        <w:tc>
          <w:tcPr>
            <w:tcW w:w="1756" w:type="dxa"/>
          </w:tcPr>
          <w:p w14:paraId="6F6BD4F6" w14:textId="77777777" w:rsidR="001D0D07" w:rsidRPr="00DB310D" w:rsidRDefault="001D0D07">
            <w:pPr>
              <w:pStyle w:val="TableParagraph"/>
              <w:spacing w:before="11"/>
              <w:rPr>
                <w:sz w:val="9"/>
              </w:rPr>
            </w:pPr>
          </w:p>
          <w:p w14:paraId="16D5CC84" w14:textId="77777777" w:rsidR="001D0D07" w:rsidRPr="00DB310D" w:rsidRDefault="00BE08EF">
            <w:pPr>
              <w:pStyle w:val="TableParagraph"/>
              <w:ind w:left="78"/>
              <w:rPr>
                <w:sz w:val="20"/>
              </w:rPr>
            </w:pPr>
            <w:r>
              <w:rPr>
                <w:noProof/>
                <w:sz w:val="20"/>
                <w:lang w:val="cs-CZ" w:eastAsia="cs-CZ"/>
              </w:rPr>
              <w:pict w14:anchorId="0DE514BF">
                <v:shape id="image22.png" o:spid="_x0000_i1032" type="#_x0000_t75" style="width:52.5pt;height:18pt;visibility:visible">
                  <v:imagedata r:id="rId25" o:title=""/>
                </v:shape>
              </w:pict>
            </w:r>
          </w:p>
          <w:p w14:paraId="2313B434" w14:textId="77777777" w:rsidR="001D0D07" w:rsidRPr="00DB310D" w:rsidRDefault="001D0D07" w:rsidP="00BA0F4C">
            <w:pPr>
              <w:pStyle w:val="TableParagraph"/>
              <w:spacing w:before="17"/>
              <w:ind w:left="58" w:right="303"/>
              <w:rPr>
                <w:sz w:val="16"/>
              </w:rPr>
            </w:pPr>
            <w:r>
              <w:rPr>
                <w:sz w:val="16"/>
                <w:szCs w:val="16"/>
                <w:lang w:val="cs-CZ"/>
              </w:rPr>
              <w:t xml:space="preserve">Axel </w:t>
            </w:r>
            <w:proofErr w:type="spellStart"/>
            <w:r>
              <w:rPr>
                <w:sz w:val="16"/>
                <w:szCs w:val="16"/>
                <w:lang w:val="cs-CZ"/>
              </w:rPr>
              <w:t>Eggert</w:t>
            </w:r>
            <w:proofErr w:type="spellEnd"/>
            <w:r>
              <w:rPr>
                <w:sz w:val="16"/>
                <w:szCs w:val="16"/>
                <w:lang w:val="cs-CZ"/>
              </w:rPr>
              <w:br/>
              <w:t>Generální ředitel EUROFER</w:t>
            </w:r>
          </w:p>
        </w:tc>
        <w:tc>
          <w:tcPr>
            <w:tcW w:w="1742" w:type="dxa"/>
          </w:tcPr>
          <w:p w14:paraId="45F4F6F9" w14:textId="77777777" w:rsidR="001D0D07" w:rsidRPr="00BA0F4C" w:rsidRDefault="00673C4F">
            <w:pPr>
              <w:pStyle w:val="TableParagraph"/>
              <w:rPr>
                <w:sz w:val="16"/>
              </w:rPr>
            </w:pPr>
            <w:r>
              <w:rPr>
                <w:noProof/>
                <w:lang w:val="cs-CZ" w:eastAsia="cs-CZ"/>
              </w:rPr>
              <w:pict w14:anchorId="2859AA0C">
                <v:shape id="image16.png" o:spid="_x0000_s1043" type="#_x0000_t75" style="position:absolute;margin-left:5.45pt;margin-top:4.85pt;width:73.35pt;height:18.4pt;z-index:251652608;visibility:visible;mso-wrap-distance-left:0;mso-wrap-distance-right:0;mso-position-horizontal-relative:page;mso-position-vertical-relative:text">
                  <v:imagedata r:id="rId26" o:title=""/>
                  <w10:wrap anchorx="page"/>
                </v:shape>
              </w:pict>
            </w:r>
          </w:p>
          <w:p w14:paraId="61B37E41" w14:textId="77777777" w:rsidR="001D0D07" w:rsidRPr="00BA0F4C" w:rsidRDefault="001D0D07">
            <w:pPr>
              <w:pStyle w:val="TableParagraph"/>
              <w:rPr>
                <w:sz w:val="16"/>
              </w:rPr>
            </w:pPr>
          </w:p>
          <w:p w14:paraId="3DFF6E9D" w14:textId="77777777" w:rsidR="001D0D07" w:rsidRPr="00DB310D" w:rsidRDefault="001D0D07" w:rsidP="00BA0F4C">
            <w:pPr>
              <w:pStyle w:val="TableParagraph"/>
              <w:spacing w:before="100"/>
              <w:ind w:left="47" w:right="285"/>
              <w:rPr>
                <w:sz w:val="16"/>
                <w:lang w:val="es-ES"/>
              </w:rPr>
            </w:pPr>
            <w:r>
              <w:rPr>
                <w:sz w:val="16"/>
                <w:szCs w:val="16"/>
                <w:lang w:val="cs-CZ"/>
              </w:rPr>
              <w:t xml:space="preserve">Guy </w:t>
            </w:r>
            <w:proofErr w:type="spellStart"/>
            <w:r>
              <w:rPr>
                <w:sz w:val="16"/>
                <w:szCs w:val="16"/>
                <w:lang w:val="cs-CZ"/>
              </w:rPr>
              <w:t>Thiran</w:t>
            </w:r>
            <w:proofErr w:type="spellEnd"/>
            <w:r>
              <w:rPr>
                <w:sz w:val="16"/>
                <w:szCs w:val="16"/>
                <w:lang w:val="cs-CZ"/>
              </w:rPr>
              <w:br/>
              <w:t>Generální ředitel EUROMETAUX</w:t>
            </w:r>
          </w:p>
        </w:tc>
        <w:tc>
          <w:tcPr>
            <w:tcW w:w="1828" w:type="dxa"/>
          </w:tcPr>
          <w:p w14:paraId="0B433F33" w14:textId="77777777" w:rsidR="001D0D07" w:rsidRPr="00DB310D" w:rsidRDefault="001D0D07">
            <w:pPr>
              <w:pStyle w:val="TableParagraph"/>
              <w:spacing w:before="10" w:after="1"/>
              <w:rPr>
                <w:sz w:val="8"/>
                <w:lang w:val="es-ES"/>
              </w:rPr>
            </w:pPr>
          </w:p>
          <w:p w14:paraId="2DDC49EA" w14:textId="77777777" w:rsidR="001D0D07" w:rsidRPr="00DB310D" w:rsidRDefault="00BE08EF">
            <w:pPr>
              <w:pStyle w:val="TableParagraph"/>
              <w:ind w:left="113"/>
              <w:rPr>
                <w:sz w:val="20"/>
              </w:rPr>
            </w:pPr>
            <w:r>
              <w:rPr>
                <w:noProof/>
                <w:sz w:val="20"/>
                <w:lang w:val="cs-CZ" w:eastAsia="cs-CZ"/>
              </w:rPr>
              <w:pict w14:anchorId="12DD4CDA">
                <v:shape id="image23.png" o:spid="_x0000_i1033" type="#_x0000_t75" style="width:69pt;height:21pt;visibility:visible">
                  <v:imagedata r:id="rId27" o:title=""/>
                </v:shape>
              </w:pict>
            </w:r>
          </w:p>
          <w:p w14:paraId="770C6D4C" w14:textId="77777777" w:rsidR="001D0D07" w:rsidRPr="00BA0F4C" w:rsidRDefault="001D0D07" w:rsidP="00BA0F4C">
            <w:pPr>
              <w:pStyle w:val="TableParagraph"/>
              <w:ind w:left="55" w:right="353"/>
              <w:rPr>
                <w:sz w:val="16"/>
                <w:lang w:val="es-ES"/>
              </w:rPr>
            </w:pPr>
            <w:r>
              <w:rPr>
                <w:sz w:val="16"/>
                <w:szCs w:val="16"/>
                <w:lang w:val="cs-CZ"/>
              </w:rPr>
              <w:t>Rolf Kuby</w:t>
            </w:r>
            <w:r>
              <w:rPr>
                <w:sz w:val="16"/>
                <w:szCs w:val="16"/>
                <w:lang w:val="cs-CZ"/>
              </w:rPr>
              <w:br/>
              <w:t>Generální ředitel EUROMINES</w:t>
            </w:r>
          </w:p>
        </w:tc>
        <w:tc>
          <w:tcPr>
            <w:tcW w:w="1851" w:type="dxa"/>
          </w:tcPr>
          <w:p w14:paraId="32C9EDE7" w14:textId="77777777" w:rsidR="001D0D07" w:rsidRPr="00BA0F4C" w:rsidRDefault="001D0D07">
            <w:pPr>
              <w:pStyle w:val="TableParagraph"/>
              <w:spacing w:before="1"/>
              <w:rPr>
                <w:sz w:val="8"/>
                <w:lang w:val="es-ES"/>
              </w:rPr>
            </w:pPr>
          </w:p>
          <w:p w14:paraId="07B882F9" w14:textId="77777777" w:rsidR="001D0D07" w:rsidRPr="00DB310D" w:rsidRDefault="00BE08EF">
            <w:pPr>
              <w:pStyle w:val="TableParagraph"/>
              <w:ind w:left="379"/>
              <w:rPr>
                <w:sz w:val="20"/>
              </w:rPr>
            </w:pPr>
            <w:r>
              <w:rPr>
                <w:noProof/>
                <w:sz w:val="20"/>
                <w:lang w:val="cs-CZ" w:eastAsia="cs-CZ"/>
              </w:rPr>
              <w:pict w14:anchorId="4EDA0D67">
                <v:shape id="image24.png" o:spid="_x0000_i1034" type="#_x0000_t75" style="width:57pt;height:21.75pt;visibility:visible">
                  <v:imagedata r:id="rId28" o:title=""/>
                </v:shape>
              </w:pict>
            </w:r>
          </w:p>
          <w:p w14:paraId="4C854BF2" w14:textId="77777777" w:rsidR="001D0D07" w:rsidRPr="00DB310D" w:rsidRDefault="001D0D07" w:rsidP="00BA0F4C">
            <w:pPr>
              <w:pStyle w:val="TableParagraph"/>
              <w:spacing w:before="11"/>
              <w:ind w:left="380" w:right="114"/>
              <w:rPr>
                <w:sz w:val="16"/>
              </w:rPr>
            </w:pPr>
            <w:r>
              <w:rPr>
                <w:sz w:val="16"/>
                <w:szCs w:val="16"/>
                <w:lang w:val="cs-CZ"/>
              </w:rPr>
              <w:t xml:space="preserve">Mara </w:t>
            </w:r>
            <w:proofErr w:type="spellStart"/>
            <w:r>
              <w:rPr>
                <w:sz w:val="16"/>
                <w:szCs w:val="16"/>
                <w:lang w:val="cs-CZ"/>
              </w:rPr>
              <w:t>Caboara</w:t>
            </w:r>
            <w:proofErr w:type="spellEnd"/>
            <w:r>
              <w:rPr>
                <w:sz w:val="16"/>
                <w:szCs w:val="16"/>
                <w:lang w:val="cs-CZ"/>
              </w:rPr>
              <w:br/>
              <w:t>Generální tajemník EXCA</w:t>
            </w:r>
          </w:p>
        </w:tc>
      </w:tr>
      <w:tr w:rsidR="001D0D07" w14:paraId="05168504" w14:textId="77777777">
        <w:trPr>
          <w:trHeight w:val="1273"/>
        </w:trPr>
        <w:tc>
          <w:tcPr>
            <w:tcW w:w="1618" w:type="dxa"/>
          </w:tcPr>
          <w:p w14:paraId="36EBFA15" w14:textId="77777777" w:rsidR="001D0D07" w:rsidRPr="00DB310D" w:rsidRDefault="001D0D07">
            <w:pPr>
              <w:pStyle w:val="TableParagraph"/>
              <w:spacing w:before="5" w:after="1"/>
              <w:rPr>
                <w:sz w:val="8"/>
              </w:rPr>
            </w:pPr>
          </w:p>
          <w:p w14:paraId="15E5BF30" w14:textId="77777777" w:rsidR="001D0D07" w:rsidRPr="00DB310D" w:rsidRDefault="00BE08EF">
            <w:pPr>
              <w:pStyle w:val="TableParagraph"/>
              <w:ind w:left="246"/>
              <w:rPr>
                <w:sz w:val="20"/>
              </w:rPr>
            </w:pPr>
            <w:r>
              <w:rPr>
                <w:noProof/>
                <w:sz w:val="20"/>
                <w:lang w:val="cs-CZ" w:eastAsia="cs-CZ"/>
              </w:rPr>
              <w:pict w14:anchorId="1E4109D4">
                <v:shape id="image25.jpeg" o:spid="_x0000_i1035" type="#_x0000_t75" style="width:57pt;height:15.75pt;visibility:visible">
                  <v:imagedata r:id="rId29" o:title=""/>
                </v:shape>
              </w:pict>
            </w:r>
          </w:p>
          <w:p w14:paraId="29E459D3" w14:textId="77777777" w:rsidR="001D0D07" w:rsidRPr="00DB310D" w:rsidRDefault="001D0D07">
            <w:pPr>
              <w:pStyle w:val="TableParagraph"/>
              <w:rPr>
                <w:sz w:val="12"/>
              </w:rPr>
            </w:pPr>
          </w:p>
          <w:p w14:paraId="3856AEC6" w14:textId="77777777" w:rsidR="001D0D07" w:rsidRPr="00DB310D" w:rsidRDefault="001D0D07">
            <w:pPr>
              <w:pStyle w:val="TableParagraph"/>
              <w:ind w:left="200" w:right="280"/>
              <w:rPr>
                <w:sz w:val="16"/>
              </w:rPr>
            </w:pPr>
            <w:r>
              <w:rPr>
                <w:sz w:val="16"/>
                <w:szCs w:val="16"/>
                <w:lang w:val="cs-CZ"/>
              </w:rPr>
              <w:t xml:space="preserve">Jacob </w:t>
            </w:r>
            <w:proofErr w:type="spellStart"/>
            <w:r>
              <w:rPr>
                <w:sz w:val="16"/>
                <w:szCs w:val="16"/>
                <w:lang w:val="cs-CZ"/>
              </w:rPr>
              <w:t>Hansen</w:t>
            </w:r>
            <w:proofErr w:type="spellEnd"/>
            <w:r>
              <w:rPr>
                <w:sz w:val="16"/>
                <w:szCs w:val="16"/>
                <w:lang w:val="cs-CZ"/>
              </w:rPr>
              <w:br/>
              <w:t xml:space="preserve">Generální ředitel </w:t>
            </w:r>
            <w:proofErr w:type="spellStart"/>
            <w:r>
              <w:rPr>
                <w:sz w:val="16"/>
                <w:szCs w:val="16"/>
                <w:lang w:val="cs-CZ"/>
              </w:rPr>
              <w:t>Fertilisers</w:t>
            </w:r>
            <w:proofErr w:type="spellEnd"/>
            <w:r>
              <w:rPr>
                <w:sz w:val="16"/>
                <w:szCs w:val="16"/>
                <w:lang w:val="cs-CZ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cs-CZ"/>
              </w:rPr>
              <w:t>Europe</w:t>
            </w:r>
            <w:proofErr w:type="spellEnd"/>
          </w:p>
        </w:tc>
        <w:tc>
          <w:tcPr>
            <w:tcW w:w="1756" w:type="dxa"/>
          </w:tcPr>
          <w:p w14:paraId="707BA177" w14:textId="77777777" w:rsidR="001D0D07" w:rsidRPr="00DB310D" w:rsidRDefault="001D0D07">
            <w:pPr>
              <w:pStyle w:val="TableParagraph"/>
              <w:spacing w:before="4"/>
              <w:rPr>
                <w:sz w:val="8"/>
              </w:rPr>
            </w:pPr>
          </w:p>
          <w:p w14:paraId="51EE53A2" w14:textId="77777777" w:rsidR="001D0D07" w:rsidRPr="00DB310D" w:rsidRDefault="00BE08EF">
            <w:pPr>
              <w:pStyle w:val="TableParagraph"/>
              <w:ind w:left="120"/>
              <w:rPr>
                <w:sz w:val="20"/>
              </w:rPr>
            </w:pPr>
            <w:r>
              <w:rPr>
                <w:noProof/>
                <w:sz w:val="20"/>
                <w:lang w:val="cs-CZ" w:eastAsia="cs-CZ"/>
              </w:rPr>
              <w:pict w14:anchorId="4022C296">
                <v:shape id="image26.jpeg" o:spid="_x0000_i1036" type="#_x0000_t75" style="width:71.25pt;height:18.75pt;visibility:visible">
                  <v:imagedata r:id="rId30" o:title=""/>
                </v:shape>
              </w:pict>
            </w:r>
          </w:p>
          <w:p w14:paraId="3F0B3C01" w14:textId="77777777" w:rsidR="001D0D07" w:rsidRPr="00DB310D" w:rsidRDefault="001D0D07" w:rsidP="00BA0F4C">
            <w:pPr>
              <w:pStyle w:val="TableParagraph"/>
              <w:spacing w:before="116"/>
              <w:ind w:left="58" w:right="303"/>
              <w:rPr>
                <w:sz w:val="16"/>
              </w:rPr>
            </w:pPr>
            <w:r>
              <w:rPr>
                <w:sz w:val="16"/>
                <w:szCs w:val="16"/>
                <w:lang w:val="cs-CZ"/>
              </w:rPr>
              <w:t>John Cooper</w:t>
            </w:r>
            <w:r>
              <w:rPr>
                <w:sz w:val="16"/>
                <w:szCs w:val="16"/>
                <w:lang w:val="cs-CZ"/>
              </w:rPr>
              <w:br/>
              <w:t xml:space="preserve">Generální ředitel </w:t>
            </w:r>
            <w:proofErr w:type="spellStart"/>
            <w:r>
              <w:rPr>
                <w:sz w:val="16"/>
                <w:szCs w:val="16"/>
                <w:lang w:val="cs-CZ"/>
              </w:rPr>
              <w:t>Fuels</w:t>
            </w:r>
            <w:proofErr w:type="spellEnd"/>
            <w:r>
              <w:rPr>
                <w:sz w:val="16"/>
                <w:szCs w:val="16"/>
                <w:lang w:val="cs-CZ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cs-CZ"/>
              </w:rPr>
              <w:t>Europe</w:t>
            </w:r>
            <w:proofErr w:type="spellEnd"/>
          </w:p>
        </w:tc>
        <w:tc>
          <w:tcPr>
            <w:tcW w:w="1742" w:type="dxa"/>
          </w:tcPr>
          <w:p w14:paraId="2D09B726" w14:textId="77777777" w:rsidR="001D0D07" w:rsidRPr="00DB310D" w:rsidRDefault="001D0D07">
            <w:pPr>
              <w:pStyle w:val="TableParagraph"/>
              <w:spacing w:before="8"/>
              <w:rPr>
                <w:sz w:val="9"/>
              </w:rPr>
            </w:pPr>
          </w:p>
          <w:p w14:paraId="68C3FCE7" w14:textId="77777777" w:rsidR="001D0D07" w:rsidRPr="00DB310D" w:rsidRDefault="00BE08EF">
            <w:pPr>
              <w:pStyle w:val="TableParagraph"/>
              <w:ind w:left="100" w:right="-15"/>
              <w:rPr>
                <w:sz w:val="20"/>
              </w:rPr>
            </w:pPr>
            <w:r>
              <w:rPr>
                <w:noProof/>
                <w:sz w:val="20"/>
                <w:lang w:val="cs-CZ" w:eastAsia="cs-CZ"/>
              </w:rPr>
              <w:pict w14:anchorId="108FD3A8">
                <v:shape id="image27.jpeg" o:spid="_x0000_i1037" type="#_x0000_t75" style="width:79.5pt;height:14.25pt;visibility:visible">
                  <v:imagedata r:id="rId31" o:title=""/>
                </v:shape>
              </w:pict>
            </w:r>
          </w:p>
          <w:p w14:paraId="41CA0A6D" w14:textId="77777777" w:rsidR="001D0D07" w:rsidRPr="00DB310D" w:rsidRDefault="001D0D07">
            <w:pPr>
              <w:pStyle w:val="TableParagraph"/>
              <w:rPr>
                <w:sz w:val="16"/>
              </w:rPr>
            </w:pPr>
          </w:p>
          <w:p w14:paraId="7EFECFA3" w14:textId="77777777" w:rsidR="001D0D07" w:rsidRPr="00DB310D" w:rsidRDefault="001D0D07">
            <w:pPr>
              <w:pStyle w:val="TableParagraph"/>
              <w:ind w:left="47" w:right="301"/>
              <w:rPr>
                <w:sz w:val="16"/>
              </w:rPr>
            </w:pPr>
            <w:r>
              <w:rPr>
                <w:sz w:val="16"/>
                <w:szCs w:val="16"/>
                <w:lang w:val="cs-CZ"/>
              </w:rPr>
              <w:t xml:space="preserve">Bertrand </w:t>
            </w:r>
            <w:proofErr w:type="spellStart"/>
            <w:r>
              <w:rPr>
                <w:sz w:val="16"/>
                <w:szCs w:val="16"/>
                <w:lang w:val="cs-CZ"/>
              </w:rPr>
              <w:t>Cazes</w:t>
            </w:r>
            <w:proofErr w:type="spellEnd"/>
            <w:r>
              <w:rPr>
                <w:sz w:val="16"/>
                <w:szCs w:val="16"/>
                <w:lang w:val="cs-CZ"/>
              </w:rPr>
              <w:br/>
              <w:t xml:space="preserve">Generální tajemník Glass </w:t>
            </w:r>
            <w:proofErr w:type="spellStart"/>
            <w:r>
              <w:rPr>
                <w:sz w:val="16"/>
                <w:szCs w:val="16"/>
                <w:lang w:val="cs-CZ"/>
              </w:rPr>
              <w:t>Alliance</w:t>
            </w:r>
            <w:proofErr w:type="spellEnd"/>
            <w:r>
              <w:rPr>
                <w:sz w:val="16"/>
                <w:szCs w:val="16"/>
                <w:lang w:val="cs-CZ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cs-CZ"/>
              </w:rPr>
              <w:t>Europe</w:t>
            </w:r>
            <w:smartTag w:uri="urn:schemas-microsoft-com:office:smarttags" w:element="City"/>
            <w:smartTag w:uri="urn:schemas-microsoft-com:office:smarttags" w:element="place"/>
            <w:proofErr w:type="spellEnd"/>
          </w:p>
        </w:tc>
        <w:tc>
          <w:tcPr>
            <w:tcW w:w="3679" w:type="dxa"/>
            <w:gridSpan w:val="2"/>
          </w:tcPr>
          <w:p w14:paraId="10708A77" w14:textId="77777777" w:rsidR="001D0D07" w:rsidRPr="00DB310D" w:rsidRDefault="001D0D07">
            <w:pPr>
              <w:pStyle w:val="TableParagraph"/>
              <w:spacing w:before="5" w:after="1"/>
              <w:rPr>
                <w:sz w:val="8"/>
              </w:rPr>
            </w:pPr>
          </w:p>
          <w:p w14:paraId="487CC096" w14:textId="77777777" w:rsidR="001D0D07" w:rsidRPr="00DB310D" w:rsidRDefault="00BE08EF">
            <w:pPr>
              <w:pStyle w:val="TableParagraph"/>
              <w:ind w:left="179"/>
              <w:rPr>
                <w:sz w:val="20"/>
              </w:rPr>
            </w:pPr>
            <w:r>
              <w:rPr>
                <w:noProof/>
                <w:sz w:val="20"/>
                <w:lang w:val="cs-CZ" w:eastAsia="cs-CZ"/>
              </w:rPr>
              <w:pict w14:anchorId="78B77B5E">
                <v:shape id="image28.png" o:spid="_x0000_i1038" type="#_x0000_t75" style="width:60.75pt;height:21.75pt;visibility:visible">
                  <v:imagedata r:id="rId32" o:title=""/>
                </v:shape>
              </w:pict>
            </w:r>
          </w:p>
          <w:p w14:paraId="74F50DA9" w14:textId="77777777" w:rsidR="001D0D07" w:rsidRPr="00DB310D" w:rsidRDefault="001D0D07">
            <w:pPr>
              <w:pStyle w:val="TableParagraph"/>
              <w:spacing w:before="6"/>
              <w:rPr>
                <w:sz w:val="12"/>
              </w:rPr>
            </w:pPr>
          </w:p>
          <w:p w14:paraId="7819FE0F" w14:textId="77777777" w:rsidR="001D0D07" w:rsidRPr="00DB310D" w:rsidRDefault="001D0D07"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  <w:szCs w:val="16"/>
                <w:lang w:val="cs-CZ"/>
              </w:rPr>
              <w:t xml:space="preserve">Michiel </w:t>
            </w:r>
            <w:proofErr w:type="spellStart"/>
            <w:r>
              <w:rPr>
                <w:sz w:val="16"/>
                <w:szCs w:val="16"/>
                <w:lang w:val="cs-CZ"/>
              </w:rPr>
              <w:t>Cornelissen</w:t>
            </w:r>
            <w:proofErr w:type="spellEnd"/>
          </w:p>
          <w:p w14:paraId="1834746C" w14:textId="77777777" w:rsidR="001D0D07" w:rsidRPr="00DB310D" w:rsidRDefault="001D0D07">
            <w:pPr>
              <w:pStyle w:val="TableParagraph"/>
              <w:spacing w:before="2" w:line="195" w:lineRule="exact"/>
              <w:ind w:left="55"/>
              <w:rPr>
                <w:sz w:val="16"/>
              </w:rPr>
            </w:pPr>
            <w:r>
              <w:rPr>
                <w:sz w:val="16"/>
                <w:szCs w:val="16"/>
                <w:lang w:val="cs-CZ"/>
              </w:rPr>
              <w:t xml:space="preserve">Předseda pracovní skupiny Green </w:t>
            </w:r>
            <w:proofErr w:type="spellStart"/>
            <w:r>
              <w:rPr>
                <w:sz w:val="16"/>
                <w:szCs w:val="16"/>
                <w:lang w:val="cs-CZ"/>
              </w:rPr>
              <w:t>Deal</w:t>
            </w:r>
            <w:proofErr w:type="spellEnd"/>
          </w:p>
          <w:p w14:paraId="2F630729" w14:textId="77777777" w:rsidR="001D0D07" w:rsidRPr="00DB310D" w:rsidRDefault="001D0D07">
            <w:pPr>
              <w:pStyle w:val="TableParagraph"/>
              <w:spacing w:line="172" w:lineRule="exact"/>
              <w:ind w:left="55"/>
              <w:rPr>
                <w:sz w:val="16"/>
              </w:rPr>
            </w:pPr>
            <w:r>
              <w:rPr>
                <w:sz w:val="16"/>
                <w:szCs w:val="16"/>
                <w:lang w:val="cs-CZ"/>
              </w:rPr>
              <w:t>IFIEC</w:t>
            </w:r>
          </w:p>
        </w:tc>
      </w:tr>
    </w:tbl>
    <w:p w14:paraId="4BF9AB1E" w14:textId="77777777" w:rsidR="001D0D07" w:rsidRPr="00DB310D" w:rsidRDefault="001D0D07"/>
    <w:sectPr w:rsidR="001D0D07" w:rsidRPr="00DB310D" w:rsidSect="007E48DB">
      <w:pgSz w:w="11910" w:h="16840"/>
      <w:pgMar w:top="1200" w:right="11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B71E2"/>
    <w:multiLevelType w:val="hybridMultilevel"/>
    <w:tmpl w:val="FFFFFFFF"/>
    <w:lvl w:ilvl="0" w:tplc="20DCF6AA">
      <w:numFmt w:val="bullet"/>
      <w:lvlText w:val=""/>
      <w:lvlJc w:val="left"/>
      <w:pPr>
        <w:ind w:left="655" w:hanging="360"/>
      </w:pPr>
      <w:rPr>
        <w:rFonts w:ascii="Symbol" w:eastAsia="Times New Roman" w:hAnsi="Symbol" w:hint="default"/>
        <w:w w:val="100"/>
        <w:sz w:val="22"/>
      </w:rPr>
    </w:lvl>
    <w:lvl w:ilvl="1" w:tplc="9CD4EBB2">
      <w:numFmt w:val="bullet"/>
      <w:lvlText w:val="•"/>
      <w:lvlJc w:val="left"/>
      <w:pPr>
        <w:ind w:left="1570" w:hanging="360"/>
      </w:pPr>
      <w:rPr>
        <w:rFonts w:hint="default"/>
      </w:rPr>
    </w:lvl>
    <w:lvl w:ilvl="2" w:tplc="BCFA369E">
      <w:numFmt w:val="bullet"/>
      <w:lvlText w:val="•"/>
      <w:lvlJc w:val="left"/>
      <w:pPr>
        <w:ind w:left="2481" w:hanging="360"/>
      </w:pPr>
      <w:rPr>
        <w:rFonts w:hint="default"/>
      </w:rPr>
    </w:lvl>
    <w:lvl w:ilvl="3" w:tplc="C8AC0A5E">
      <w:numFmt w:val="bullet"/>
      <w:lvlText w:val="•"/>
      <w:lvlJc w:val="left"/>
      <w:pPr>
        <w:ind w:left="3391" w:hanging="360"/>
      </w:pPr>
      <w:rPr>
        <w:rFonts w:hint="default"/>
      </w:rPr>
    </w:lvl>
    <w:lvl w:ilvl="4" w:tplc="1EA6234E">
      <w:numFmt w:val="bullet"/>
      <w:lvlText w:val="•"/>
      <w:lvlJc w:val="left"/>
      <w:pPr>
        <w:ind w:left="4302" w:hanging="360"/>
      </w:pPr>
      <w:rPr>
        <w:rFonts w:hint="default"/>
      </w:rPr>
    </w:lvl>
    <w:lvl w:ilvl="5" w:tplc="EFA88558">
      <w:numFmt w:val="bullet"/>
      <w:lvlText w:val="•"/>
      <w:lvlJc w:val="left"/>
      <w:pPr>
        <w:ind w:left="5213" w:hanging="360"/>
      </w:pPr>
      <w:rPr>
        <w:rFonts w:hint="default"/>
      </w:rPr>
    </w:lvl>
    <w:lvl w:ilvl="6" w:tplc="0A04A1F0">
      <w:numFmt w:val="bullet"/>
      <w:lvlText w:val="•"/>
      <w:lvlJc w:val="left"/>
      <w:pPr>
        <w:ind w:left="6123" w:hanging="360"/>
      </w:pPr>
      <w:rPr>
        <w:rFonts w:hint="default"/>
      </w:rPr>
    </w:lvl>
    <w:lvl w:ilvl="7" w:tplc="EDF46FB6">
      <w:numFmt w:val="bullet"/>
      <w:lvlText w:val="•"/>
      <w:lvlJc w:val="left"/>
      <w:pPr>
        <w:ind w:left="7034" w:hanging="360"/>
      </w:pPr>
      <w:rPr>
        <w:rFonts w:hint="default"/>
      </w:rPr>
    </w:lvl>
    <w:lvl w:ilvl="8" w:tplc="F7C61E34">
      <w:numFmt w:val="bullet"/>
      <w:lvlText w:val="•"/>
      <w:lvlJc w:val="left"/>
      <w:pPr>
        <w:ind w:left="794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A0tTQyMja3NDU3MTdX0lEKTi0uzszPAykwrAUA/6B9HSwAAAA="/>
  </w:docVars>
  <w:rsids>
    <w:rsidRoot w:val="007E48DB"/>
    <w:rsid w:val="00150E5C"/>
    <w:rsid w:val="001D0D07"/>
    <w:rsid w:val="00241407"/>
    <w:rsid w:val="002D68DF"/>
    <w:rsid w:val="00387E0E"/>
    <w:rsid w:val="00673C4F"/>
    <w:rsid w:val="00750F13"/>
    <w:rsid w:val="0077637A"/>
    <w:rsid w:val="007E48DB"/>
    <w:rsid w:val="00A4130D"/>
    <w:rsid w:val="00BA0F4C"/>
    <w:rsid w:val="00BE08EF"/>
    <w:rsid w:val="00D8253F"/>
    <w:rsid w:val="00DB310D"/>
    <w:rsid w:val="00FB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44"/>
    <o:shapelayout v:ext="edit">
      <o:idmap v:ext="edit" data="1"/>
    </o:shapelayout>
  </w:shapeDefaults>
  <w:decimalSymbol w:val=","/>
  <w:listSeparator w:val=";"/>
  <w14:docId w14:val="7867E9A7"/>
  <w15:docId w15:val="{FC4EB3BF-EE24-4387-9563-B3BFFACD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48DB"/>
    <w:pPr>
      <w:widowControl w:val="0"/>
      <w:autoSpaceDE w:val="0"/>
      <w:autoSpaceDN w:val="0"/>
    </w:pPr>
    <w:rPr>
      <w:rFonts w:cs="Calibri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7E48DB"/>
    <w:pPr>
      <w:ind w:left="228" w:right="117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Calibri"/>
      <w:lang w:val="en-US" w:eastAsia="en-US"/>
    </w:rPr>
  </w:style>
  <w:style w:type="paragraph" w:styleId="Nzev">
    <w:name w:val="Title"/>
    <w:basedOn w:val="Normln"/>
    <w:link w:val="NzevChar"/>
    <w:uiPriority w:val="99"/>
    <w:qFormat/>
    <w:rsid w:val="007E48DB"/>
    <w:pPr>
      <w:spacing w:before="22"/>
      <w:ind w:left="598" w:right="496"/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styleId="Odstavecseseznamem">
    <w:name w:val="List Paragraph"/>
    <w:basedOn w:val="Normln"/>
    <w:uiPriority w:val="99"/>
    <w:qFormat/>
    <w:rsid w:val="007E48DB"/>
    <w:pPr>
      <w:ind w:left="655" w:right="117" w:hanging="360"/>
      <w:jc w:val="both"/>
    </w:pPr>
  </w:style>
  <w:style w:type="paragraph" w:customStyle="1" w:styleId="TableParagraph">
    <w:name w:val="Table Paragraph"/>
    <w:basedOn w:val="Normln"/>
    <w:uiPriority w:val="99"/>
    <w:rsid w:val="007E4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jpeg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1031</Words>
  <Characters>6086</Characters>
  <Application>Microsoft Office Word</Application>
  <DocSecurity>0</DocSecurity>
  <Lines>50</Lines>
  <Paragraphs>14</Paragraphs>
  <ScaleCrop>false</ScaleCrop>
  <Company/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Naďa</cp:lastModifiedBy>
  <cp:revision>2</cp:revision>
  <dcterms:created xsi:type="dcterms:W3CDTF">2022-06-29T07:12:00Z</dcterms:created>
  <dcterms:modified xsi:type="dcterms:W3CDTF">2022-06-29T07:12:00Z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</Properties>
</file>