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99" w:rsidRPr="006E787A" w:rsidRDefault="00737599" w:rsidP="006E787A">
      <w:pPr>
        <w:jc w:val="center"/>
        <w:rPr>
          <w:rFonts w:ascii="Times New Roman" w:eastAsia="Times New Roman" w:hAnsi="Times New Roman" w:cs="Times New Roman"/>
          <w:b/>
          <w:sz w:val="28"/>
          <w:szCs w:val="28"/>
          <w:lang w:eastAsia="cs-CZ"/>
        </w:rPr>
      </w:pPr>
      <w:r w:rsidRPr="000C6626">
        <w:rPr>
          <w:rFonts w:ascii="Times New Roman" w:hAnsi="Times New Roman" w:cs="Times New Roman"/>
          <w:b/>
          <w:sz w:val="28"/>
          <w:szCs w:val="28"/>
        </w:rPr>
        <w:t>Diskuzní odpoledne Sdružení velkých odběratelů energie</w:t>
      </w:r>
      <w:r w:rsidRPr="000C6626">
        <w:rPr>
          <w:rFonts w:ascii="Times New Roman" w:eastAsia="Times New Roman" w:hAnsi="Times New Roman" w:cs="Times New Roman"/>
          <w:b/>
          <w:sz w:val="28"/>
          <w:szCs w:val="28"/>
          <w:lang w:eastAsia="cs-CZ"/>
        </w:rPr>
        <w:t xml:space="preserve"> </w:t>
      </w:r>
      <w:r w:rsidR="006E787A">
        <w:rPr>
          <w:rFonts w:ascii="Times New Roman" w:eastAsia="Times New Roman" w:hAnsi="Times New Roman" w:cs="Times New Roman"/>
          <w:b/>
          <w:sz w:val="28"/>
          <w:szCs w:val="28"/>
          <w:lang w:eastAsia="cs-CZ"/>
        </w:rPr>
        <w:t xml:space="preserve">(SVSE)                      </w:t>
      </w:r>
      <w:r w:rsidRPr="000C6626">
        <w:rPr>
          <w:rFonts w:ascii="Times New Roman" w:hAnsi="Times New Roman" w:cs="Times New Roman"/>
          <w:b/>
          <w:sz w:val="28"/>
          <w:szCs w:val="28"/>
        </w:rPr>
        <w:t>o perspektivách energeticky náročného průmyslu v</w:t>
      </w:r>
      <w:r w:rsidR="000C6626" w:rsidRPr="000C6626">
        <w:rPr>
          <w:rFonts w:ascii="Times New Roman" w:hAnsi="Times New Roman" w:cs="Times New Roman"/>
          <w:b/>
          <w:sz w:val="28"/>
          <w:szCs w:val="28"/>
        </w:rPr>
        <w:t> </w:t>
      </w:r>
      <w:r w:rsidRPr="000C6626">
        <w:rPr>
          <w:rFonts w:ascii="Times New Roman" w:hAnsi="Times New Roman" w:cs="Times New Roman"/>
          <w:b/>
          <w:sz w:val="28"/>
          <w:szCs w:val="28"/>
        </w:rPr>
        <w:t>ČR</w:t>
      </w:r>
    </w:p>
    <w:p w:rsidR="000C6626" w:rsidRDefault="000C6626" w:rsidP="00737599">
      <w:pPr>
        <w:jc w:val="center"/>
        <w:rPr>
          <w:rFonts w:ascii="Times New Roman" w:hAnsi="Times New Roman" w:cs="Times New Roman"/>
          <w:b/>
          <w:sz w:val="32"/>
          <w:szCs w:val="32"/>
        </w:rPr>
      </w:pPr>
    </w:p>
    <w:p w:rsidR="00F84640" w:rsidRDefault="00E401F0" w:rsidP="00E401F0">
      <w:pPr>
        <w:rPr>
          <w:rFonts w:ascii="Times New Roman" w:hAnsi="Times New Roman" w:cs="Times New Roman"/>
          <w:sz w:val="24"/>
          <w:szCs w:val="24"/>
        </w:rPr>
      </w:pPr>
      <w:r w:rsidRPr="00E401F0">
        <w:rPr>
          <w:rFonts w:ascii="Times New Roman" w:hAnsi="Times New Roman" w:cs="Times New Roman"/>
          <w:sz w:val="24"/>
          <w:szCs w:val="24"/>
        </w:rPr>
        <w:t xml:space="preserve">Koncem </w:t>
      </w:r>
      <w:r>
        <w:rPr>
          <w:rFonts w:ascii="Times New Roman" w:hAnsi="Times New Roman" w:cs="Times New Roman"/>
          <w:sz w:val="24"/>
          <w:szCs w:val="24"/>
        </w:rPr>
        <w:t>srpna</w:t>
      </w:r>
      <w:r w:rsidRPr="00E401F0">
        <w:rPr>
          <w:rFonts w:ascii="Times New Roman" w:hAnsi="Times New Roman" w:cs="Times New Roman"/>
          <w:sz w:val="24"/>
          <w:szCs w:val="24"/>
        </w:rPr>
        <w:t xml:space="preserve"> </w:t>
      </w:r>
      <w:r>
        <w:rPr>
          <w:rFonts w:ascii="Times New Roman" w:hAnsi="Times New Roman" w:cs="Times New Roman"/>
          <w:sz w:val="24"/>
          <w:szCs w:val="24"/>
        </w:rPr>
        <w:t xml:space="preserve">proběhl </w:t>
      </w:r>
      <w:r w:rsidR="006E787A">
        <w:rPr>
          <w:rFonts w:ascii="Times New Roman" w:hAnsi="Times New Roman" w:cs="Times New Roman"/>
          <w:sz w:val="24"/>
          <w:szCs w:val="24"/>
        </w:rPr>
        <w:t xml:space="preserve">17. ročník tradičního Diskuzního odpoledne SVSE o energetice a klimatu.  </w:t>
      </w:r>
      <w:r w:rsidRPr="00E401F0">
        <w:rPr>
          <w:rFonts w:ascii="Times New Roman" w:hAnsi="Times New Roman" w:cs="Times New Roman"/>
          <w:sz w:val="24"/>
          <w:szCs w:val="24"/>
        </w:rPr>
        <w:t xml:space="preserve"> </w:t>
      </w:r>
      <w:r w:rsidR="008D7725">
        <w:rPr>
          <w:rFonts w:ascii="Times New Roman" w:hAnsi="Times New Roman" w:cs="Times New Roman"/>
          <w:sz w:val="24"/>
          <w:szCs w:val="24"/>
        </w:rPr>
        <w:t>Cílem schůzky zástupců velkých průmyslových firem a oborových svazů s profesionály z odvětví energetiky a ochrany životního prostředí</w:t>
      </w:r>
      <w:r w:rsidR="00A634CD">
        <w:rPr>
          <w:rFonts w:ascii="Times New Roman" w:hAnsi="Times New Roman" w:cs="Times New Roman"/>
          <w:sz w:val="24"/>
          <w:szCs w:val="24"/>
        </w:rPr>
        <w:t xml:space="preserve"> byla výměna informací a názorů na budoucí vývoj t</w:t>
      </w:r>
      <w:r w:rsidR="00DA4438">
        <w:rPr>
          <w:rFonts w:ascii="Times New Roman" w:hAnsi="Times New Roman" w:cs="Times New Roman"/>
          <w:sz w:val="24"/>
          <w:szCs w:val="24"/>
        </w:rPr>
        <w:t>r</w:t>
      </w:r>
      <w:r w:rsidR="00A634CD">
        <w:rPr>
          <w:rFonts w:ascii="Times New Roman" w:hAnsi="Times New Roman" w:cs="Times New Roman"/>
          <w:sz w:val="24"/>
          <w:szCs w:val="24"/>
        </w:rPr>
        <w:t>hu s energií v </w:t>
      </w:r>
      <w:r w:rsidR="00DA4438">
        <w:rPr>
          <w:rFonts w:ascii="Times New Roman" w:hAnsi="Times New Roman" w:cs="Times New Roman"/>
          <w:sz w:val="24"/>
          <w:szCs w:val="24"/>
        </w:rPr>
        <w:t>Č</w:t>
      </w:r>
      <w:r w:rsidR="00A634CD">
        <w:rPr>
          <w:rFonts w:ascii="Times New Roman" w:hAnsi="Times New Roman" w:cs="Times New Roman"/>
          <w:sz w:val="24"/>
          <w:szCs w:val="24"/>
        </w:rPr>
        <w:t>eské republice i v</w:t>
      </w:r>
      <w:r w:rsidR="00DA4438">
        <w:rPr>
          <w:rFonts w:ascii="Times New Roman" w:hAnsi="Times New Roman" w:cs="Times New Roman"/>
          <w:sz w:val="24"/>
          <w:szCs w:val="24"/>
        </w:rPr>
        <w:t xml:space="preserve"> Evropě. Závěry schůzky </w:t>
      </w:r>
      <w:r w:rsidR="00380570" w:rsidRPr="00380570">
        <w:rPr>
          <w:rFonts w:ascii="Times New Roman" w:hAnsi="Times New Roman" w:cs="Times New Roman"/>
          <w:sz w:val="24"/>
          <w:szCs w:val="24"/>
        </w:rPr>
        <w:t>použijí</w:t>
      </w:r>
      <w:r w:rsidR="00DA4438" w:rsidRPr="00140585">
        <w:rPr>
          <w:rFonts w:ascii="Times New Roman" w:hAnsi="Times New Roman" w:cs="Times New Roman"/>
          <w:i/>
          <w:sz w:val="24"/>
          <w:szCs w:val="24"/>
        </w:rPr>
        <w:t xml:space="preserve"> </w:t>
      </w:r>
      <w:r w:rsidR="00380570">
        <w:rPr>
          <w:rFonts w:ascii="Times New Roman" w:hAnsi="Times New Roman" w:cs="Times New Roman"/>
          <w:sz w:val="24"/>
          <w:szCs w:val="24"/>
        </w:rPr>
        <w:t>podniky energeticky intenzivního průmyslu k</w:t>
      </w:r>
      <w:r w:rsidR="00F84640">
        <w:rPr>
          <w:rFonts w:ascii="Times New Roman" w:hAnsi="Times New Roman" w:cs="Times New Roman"/>
          <w:sz w:val="24"/>
          <w:szCs w:val="24"/>
        </w:rPr>
        <w:t>e</w:t>
      </w:r>
      <w:r w:rsidR="00E20313">
        <w:rPr>
          <w:rFonts w:ascii="Times New Roman" w:hAnsi="Times New Roman" w:cs="Times New Roman"/>
          <w:sz w:val="24"/>
          <w:szCs w:val="24"/>
        </w:rPr>
        <w:t> </w:t>
      </w:r>
      <w:r w:rsidR="00F84640">
        <w:rPr>
          <w:rFonts w:ascii="Times New Roman" w:hAnsi="Times New Roman" w:cs="Times New Roman"/>
          <w:sz w:val="24"/>
          <w:szCs w:val="24"/>
        </w:rPr>
        <w:t>korekci</w:t>
      </w:r>
      <w:r w:rsidR="00E20313">
        <w:rPr>
          <w:rFonts w:ascii="Times New Roman" w:hAnsi="Times New Roman" w:cs="Times New Roman"/>
          <w:sz w:val="24"/>
          <w:szCs w:val="24"/>
        </w:rPr>
        <w:t xml:space="preserve"> středně a dlouhodobé </w:t>
      </w:r>
      <w:r w:rsidR="00380570">
        <w:rPr>
          <w:rFonts w:ascii="Times New Roman" w:hAnsi="Times New Roman" w:cs="Times New Roman"/>
          <w:sz w:val="24"/>
          <w:szCs w:val="24"/>
        </w:rPr>
        <w:t xml:space="preserve">strategie dalšího </w:t>
      </w:r>
      <w:r w:rsidR="00E20313">
        <w:rPr>
          <w:rFonts w:ascii="Times New Roman" w:hAnsi="Times New Roman" w:cs="Times New Roman"/>
          <w:sz w:val="24"/>
          <w:szCs w:val="24"/>
        </w:rPr>
        <w:t>rozvoje</w:t>
      </w:r>
      <w:r w:rsidR="00380570">
        <w:rPr>
          <w:rFonts w:ascii="Times New Roman" w:hAnsi="Times New Roman" w:cs="Times New Roman"/>
          <w:sz w:val="24"/>
          <w:szCs w:val="24"/>
        </w:rPr>
        <w:t xml:space="preserve">. </w:t>
      </w:r>
    </w:p>
    <w:p w:rsidR="00553728" w:rsidRDefault="00F84640" w:rsidP="00E401F0">
      <w:pPr>
        <w:rPr>
          <w:rFonts w:ascii="Times New Roman" w:hAnsi="Times New Roman" w:cs="Times New Roman"/>
          <w:sz w:val="24"/>
          <w:szCs w:val="24"/>
        </w:rPr>
      </w:pPr>
      <w:r>
        <w:rPr>
          <w:rFonts w:ascii="Times New Roman" w:hAnsi="Times New Roman" w:cs="Times New Roman"/>
          <w:sz w:val="24"/>
          <w:szCs w:val="24"/>
        </w:rPr>
        <w:t>Program se</w:t>
      </w:r>
      <w:r w:rsidR="002179C4">
        <w:rPr>
          <w:rFonts w:ascii="Times New Roman" w:hAnsi="Times New Roman" w:cs="Times New Roman"/>
          <w:sz w:val="24"/>
          <w:szCs w:val="24"/>
        </w:rPr>
        <w:t>mináře byl rozdělen na 4 bloky</w:t>
      </w:r>
      <w:r w:rsidR="001D56E2">
        <w:rPr>
          <w:rFonts w:ascii="Times New Roman" w:hAnsi="Times New Roman" w:cs="Times New Roman"/>
          <w:sz w:val="24"/>
          <w:szCs w:val="24"/>
        </w:rPr>
        <w:t>.</w:t>
      </w:r>
      <w:r w:rsidR="002E0519">
        <w:rPr>
          <w:rFonts w:ascii="Times New Roman" w:hAnsi="Times New Roman" w:cs="Times New Roman"/>
          <w:sz w:val="24"/>
          <w:szCs w:val="24"/>
        </w:rPr>
        <w:t xml:space="preserve"> </w:t>
      </w:r>
      <w:r w:rsidR="00553728">
        <w:rPr>
          <w:rFonts w:ascii="Times New Roman" w:hAnsi="Times New Roman" w:cs="Times New Roman"/>
          <w:sz w:val="24"/>
          <w:szCs w:val="24"/>
        </w:rPr>
        <w:t>Každý blok programu zahájily připravené prezentace, po kterých následovala otevřená diskuze a formulace závěrů.</w:t>
      </w:r>
      <w:r w:rsidR="001D56E2">
        <w:rPr>
          <w:rFonts w:ascii="Times New Roman" w:hAnsi="Times New Roman" w:cs="Times New Roman"/>
          <w:sz w:val="24"/>
          <w:szCs w:val="24"/>
        </w:rPr>
        <w:t xml:space="preserve"> Prezentace jsou k dispozici na webu SVSE </w:t>
      </w:r>
      <w:hyperlink r:id="rId5" w:history="1">
        <w:r w:rsidR="001D56E2" w:rsidRPr="00234EAB">
          <w:rPr>
            <w:rStyle w:val="Hypertextovodkaz"/>
            <w:rFonts w:ascii="Times New Roman" w:hAnsi="Times New Roman" w:cs="Times New Roman"/>
            <w:sz w:val="24"/>
            <w:szCs w:val="24"/>
          </w:rPr>
          <w:t>http://svse-csze.cz/verejne-akce/diskuzni-odpoledne-svse/</w:t>
        </w:r>
      </w:hyperlink>
    </w:p>
    <w:p w:rsidR="00E401F0" w:rsidRDefault="008D7725" w:rsidP="00E401F0">
      <w:pPr>
        <w:rPr>
          <w:rFonts w:ascii="Times New Roman" w:hAnsi="Times New Roman" w:cs="Times New Roman"/>
          <w:b/>
          <w:sz w:val="24"/>
          <w:szCs w:val="24"/>
        </w:rPr>
      </w:pPr>
      <w:r>
        <w:rPr>
          <w:rFonts w:ascii="Times New Roman" w:hAnsi="Times New Roman" w:cs="Times New Roman"/>
          <w:sz w:val="24"/>
          <w:szCs w:val="24"/>
        </w:rPr>
        <w:t xml:space="preserve"> </w:t>
      </w:r>
      <w:r w:rsidR="00553728" w:rsidRPr="00955471">
        <w:rPr>
          <w:rFonts w:ascii="Times New Roman" w:hAnsi="Times New Roman" w:cs="Times New Roman"/>
          <w:b/>
          <w:sz w:val="24"/>
          <w:szCs w:val="24"/>
        </w:rPr>
        <w:t xml:space="preserve">Prognóza bilance spotřeby a dodávek elektřiny. </w:t>
      </w:r>
    </w:p>
    <w:p w:rsidR="00955471" w:rsidRDefault="00955471" w:rsidP="00FA6BD3">
      <w:pPr>
        <w:spacing w:after="0"/>
        <w:rPr>
          <w:rFonts w:ascii="Times New Roman" w:hAnsi="Times New Roman" w:cs="Times New Roman"/>
          <w:sz w:val="24"/>
          <w:szCs w:val="24"/>
        </w:rPr>
      </w:pPr>
      <w:r>
        <w:rPr>
          <w:rFonts w:ascii="Times New Roman" w:hAnsi="Times New Roman" w:cs="Times New Roman"/>
          <w:sz w:val="24"/>
          <w:szCs w:val="24"/>
        </w:rPr>
        <w:t>Ing. Winkler prezentoval pohled ČEPS na</w:t>
      </w:r>
      <w:r w:rsidR="00FA1FDE">
        <w:rPr>
          <w:rFonts w:ascii="Times New Roman" w:hAnsi="Times New Roman" w:cs="Times New Roman"/>
          <w:sz w:val="24"/>
          <w:szCs w:val="24"/>
        </w:rPr>
        <w:t xml:space="preserve"> dekarbonizaci podle Hodnocení výkonové přiměřenosti ES ČR do roku 2040. Součástí prezentace byly grafy </w:t>
      </w:r>
      <w:r w:rsidR="00375F8E">
        <w:rPr>
          <w:rFonts w:ascii="Times New Roman" w:hAnsi="Times New Roman" w:cs="Times New Roman"/>
          <w:sz w:val="24"/>
          <w:szCs w:val="24"/>
        </w:rPr>
        <w:t>z předběžných scénářů Národního klimaticko-energetického plánu ČR (NKEP).</w:t>
      </w:r>
      <w:r w:rsidR="007837F9">
        <w:rPr>
          <w:rFonts w:ascii="Times New Roman" w:hAnsi="Times New Roman" w:cs="Times New Roman"/>
          <w:sz w:val="24"/>
          <w:szCs w:val="24"/>
        </w:rPr>
        <w:t xml:space="preserve"> Výsledky analýz indikují značnou zdrojovou nepřiměřenost v</w:t>
      </w:r>
      <w:r w:rsidR="00FA6BD3">
        <w:rPr>
          <w:rFonts w:ascii="Times New Roman" w:hAnsi="Times New Roman" w:cs="Times New Roman"/>
          <w:sz w:val="24"/>
          <w:szCs w:val="24"/>
        </w:rPr>
        <w:t> </w:t>
      </w:r>
      <w:r w:rsidR="007837F9">
        <w:rPr>
          <w:rFonts w:ascii="Times New Roman" w:hAnsi="Times New Roman" w:cs="Times New Roman"/>
          <w:sz w:val="24"/>
          <w:szCs w:val="24"/>
        </w:rPr>
        <w:t>budoucnu</w:t>
      </w:r>
      <w:r w:rsidR="00FA6BD3">
        <w:rPr>
          <w:rFonts w:ascii="Times New Roman" w:hAnsi="Times New Roman" w:cs="Times New Roman"/>
          <w:sz w:val="24"/>
          <w:szCs w:val="24"/>
        </w:rPr>
        <w:t xml:space="preserve"> s vysokou mírou závislosti na dovozu při omezené dostupnosti </w:t>
      </w:r>
      <w:r w:rsidR="002A051F">
        <w:rPr>
          <w:rFonts w:ascii="Times New Roman" w:hAnsi="Times New Roman" w:cs="Times New Roman"/>
          <w:sz w:val="24"/>
          <w:szCs w:val="24"/>
        </w:rPr>
        <w:t>rezervovaných podpůrných služeb (</w:t>
      </w:r>
      <w:r w:rsidR="00FA6BD3">
        <w:rPr>
          <w:rFonts w:ascii="Times New Roman" w:hAnsi="Times New Roman" w:cs="Times New Roman"/>
          <w:sz w:val="24"/>
          <w:szCs w:val="24"/>
        </w:rPr>
        <w:t>PpS</w:t>
      </w:r>
      <w:r w:rsidR="002A051F">
        <w:rPr>
          <w:rFonts w:ascii="Times New Roman" w:hAnsi="Times New Roman" w:cs="Times New Roman"/>
          <w:sz w:val="24"/>
          <w:szCs w:val="24"/>
        </w:rPr>
        <w:t>)</w:t>
      </w:r>
      <w:r w:rsidR="00FA6BD3">
        <w:rPr>
          <w:rFonts w:ascii="Times New Roman" w:hAnsi="Times New Roman" w:cs="Times New Roman"/>
          <w:sz w:val="24"/>
          <w:szCs w:val="24"/>
        </w:rPr>
        <w:t>.</w:t>
      </w:r>
      <w:r w:rsidR="00251084">
        <w:rPr>
          <w:rFonts w:ascii="Times New Roman" w:hAnsi="Times New Roman" w:cs="Times New Roman"/>
          <w:sz w:val="24"/>
          <w:szCs w:val="24"/>
        </w:rPr>
        <w:t xml:space="preserve"> Pro dovoz elektřiny je potřeba zásadně posílit přenosové kapacity nejen v tuzemsku ale i v Německu a dalších sousedních zemích.</w:t>
      </w:r>
    </w:p>
    <w:p w:rsidR="00BE12CB" w:rsidRDefault="00FA6BD3" w:rsidP="00B60B92">
      <w:pPr>
        <w:spacing w:after="0"/>
        <w:rPr>
          <w:rFonts w:ascii="Times New Roman" w:hAnsi="Times New Roman" w:cs="Times New Roman"/>
          <w:sz w:val="24"/>
          <w:szCs w:val="24"/>
        </w:rPr>
      </w:pPr>
      <w:r>
        <w:rPr>
          <w:rFonts w:ascii="Times New Roman" w:hAnsi="Times New Roman" w:cs="Times New Roman"/>
          <w:sz w:val="24"/>
          <w:szCs w:val="24"/>
        </w:rPr>
        <w:t xml:space="preserve">Po přednášce ČEPS </w:t>
      </w:r>
      <w:r w:rsidR="00B57182">
        <w:rPr>
          <w:rFonts w:ascii="Times New Roman" w:hAnsi="Times New Roman" w:cs="Times New Roman"/>
          <w:sz w:val="24"/>
          <w:szCs w:val="24"/>
        </w:rPr>
        <w:t>seznámil</w:t>
      </w:r>
      <w:r>
        <w:rPr>
          <w:rFonts w:ascii="Times New Roman" w:hAnsi="Times New Roman" w:cs="Times New Roman"/>
          <w:sz w:val="24"/>
          <w:szCs w:val="24"/>
        </w:rPr>
        <w:t xml:space="preserve"> Ing. Macenauer</w:t>
      </w:r>
      <w:r w:rsidR="00B57182">
        <w:rPr>
          <w:rFonts w:ascii="Times New Roman" w:hAnsi="Times New Roman" w:cs="Times New Roman"/>
          <w:sz w:val="24"/>
          <w:szCs w:val="24"/>
        </w:rPr>
        <w:t xml:space="preserve"> účastníky s prognózou </w:t>
      </w:r>
      <w:r>
        <w:rPr>
          <w:rFonts w:ascii="Times New Roman" w:hAnsi="Times New Roman" w:cs="Times New Roman"/>
          <w:sz w:val="24"/>
          <w:szCs w:val="24"/>
        </w:rPr>
        <w:t>EGÚ</w:t>
      </w:r>
      <w:r w:rsidR="00B60B92">
        <w:rPr>
          <w:rFonts w:ascii="Times New Roman" w:hAnsi="Times New Roman" w:cs="Times New Roman"/>
          <w:sz w:val="24"/>
          <w:szCs w:val="24"/>
        </w:rPr>
        <w:t xml:space="preserve"> na změny trhu při dekarbonizaci elektrizační soustavy.</w:t>
      </w:r>
      <w:r w:rsidR="00CD56AC">
        <w:rPr>
          <w:rFonts w:ascii="Times New Roman" w:hAnsi="Times New Roman" w:cs="Times New Roman"/>
          <w:sz w:val="24"/>
          <w:szCs w:val="24"/>
        </w:rPr>
        <w:t xml:space="preserve"> Útlum uhelných zdrojů </w:t>
      </w:r>
      <w:r w:rsidR="00CA1246">
        <w:rPr>
          <w:rFonts w:ascii="Times New Roman" w:hAnsi="Times New Roman" w:cs="Times New Roman"/>
          <w:sz w:val="24"/>
          <w:szCs w:val="24"/>
        </w:rPr>
        <w:t xml:space="preserve">vlivem ceny povolenek </w:t>
      </w:r>
      <w:r w:rsidR="00CD56AC">
        <w:rPr>
          <w:rFonts w:ascii="Times New Roman" w:hAnsi="Times New Roman" w:cs="Times New Roman"/>
          <w:sz w:val="24"/>
          <w:szCs w:val="24"/>
        </w:rPr>
        <w:t xml:space="preserve">a </w:t>
      </w:r>
      <w:r w:rsidR="00CA1246">
        <w:rPr>
          <w:rFonts w:ascii="Times New Roman" w:hAnsi="Times New Roman" w:cs="Times New Roman"/>
          <w:sz w:val="24"/>
          <w:szCs w:val="24"/>
        </w:rPr>
        <w:t xml:space="preserve">podpora </w:t>
      </w:r>
      <w:r w:rsidR="00CD56AC">
        <w:rPr>
          <w:rFonts w:ascii="Times New Roman" w:hAnsi="Times New Roman" w:cs="Times New Roman"/>
          <w:sz w:val="24"/>
          <w:szCs w:val="24"/>
        </w:rPr>
        <w:t>růst</w:t>
      </w:r>
      <w:r w:rsidR="00CA1246">
        <w:rPr>
          <w:rFonts w:ascii="Times New Roman" w:hAnsi="Times New Roman" w:cs="Times New Roman"/>
          <w:sz w:val="24"/>
          <w:szCs w:val="24"/>
        </w:rPr>
        <w:t>u</w:t>
      </w:r>
      <w:r w:rsidR="00CD56AC">
        <w:rPr>
          <w:rFonts w:ascii="Times New Roman" w:hAnsi="Times New Roman" w:cs="Times New Roman"/>
          <w:sz w:val="24"/>
          <w:szCs w:val="24"/>
        </w:rPr>
        <w:t xml:space="preserve"> </w:t>
      </w:r>
      <w:r w:rsidR="00A86A8F">
        <w:rPr>
          <w:rFonts w:ascii="Times New Roman" w:hAnsi="Times New Roman" w:cs="Times New Roman"/>
          <w:sz w:val="24"/>
          <w:szCs w:val="24"/>
        </w:rPr>
        <w:t>výroby</w:t>
      </w:r>
      <w:r w:rsidR="00CD56AC">
        <w:rPr>
          <w:rFonts w:ascii="Times New Roman" w:hAnsi="Times New Roman" w:cs="Times New Roman"/>
          <w:sz w:val="24"/>
          <w:szCs w:val="24"/>
        </w:rPr>
        <w:t xml:space="preserve"> FVE vyvolá potřebu flexibility ve spotřebě, </w:t>
      </w:r>
      <w:r w:rsidR="00CA1246">
        <w:rPr>
          <w:rFonts w:ascii="Times New Roman" w:hAnsi="Times New Roman" w:cs="Times New Roman"/>
          <w:sz w:val="24"/>
          <w:szCs w:val="24"/>
        </w:rPr>
        <w:t xml:space="preserve">akumulační kapacity a zejména </w:t>
      </w:r>
      <w:r w:rsidR="00021775">
        <w:rPr>
          <w:rFonts w:ascii="Times New Roman" w:hAnsi="Times New Roman" w:cs="Times New Roman"/>
          <w:sz w:val="24"/>
          <w:szCs w:val="24"/>
        </w:rPr>
        <w:t xml:space="preserve">zdroje ke </w:t>
      </w:r>
      <w:r w:rsidR="00CA1246">
        <w:rPr>
          <w:rFonts w:ascii="Times New Roman" w:hAnsi="Times New Roman" w:cs="Times New Roman"/>
          <w:sz w:val="24"/>
          <w:szCs w:val="24"/>
        </w:rPr>
        <w:t xml:space="preserve">kompenzaci nízkého časového využití </w:t>
      </w:r>
      <w:r w:rsidR="007475FC">
        <w:rPr>
          <w:rFonts w:ascii="Times New Roman" w:hAnsi="Times New Roman" w:cs="Times New Roman"/>
          <w:sz w:val="24"/>
          <w:szCs w:val="24"/>
        </w:rPr>
        <w:t>obnovitelných zdrojů.</w:t>
      </w:r>
    </w:p>
    <w:p w:rsidR="00F04FB9" w:rsidRDefault="00BE12CB" w:rsidP="00B60B92">
      <w:pPr>
        <w:spacing w:after="0"/>
        <w:rPr>
          <w:rFonts w:ascii="Times New Roman" w:hAnsi="Times New Roman" w:cs="Times New Roman"/>
          <w:sz w:val="24"/>
          <w:szCs w:val="24"/>
        </w:rPr>
      </w:pPr>
      <w:r>
        <w:rPr>
          <w:rFonts w:ascii="Times New Roman" w:hAnsi="Times New Roman" w:cs="Times New Roman"/>
          <w:sz w:val="24"/>
          <w:szCs w:val="24"/>
        </w:rPr>
        <w:t>Ředitel sekce energetiky MPO Ing. Neděla informoval ve své prezentaci o aktualizaci hlavních strategických dokumentů v oblasti energetiky ČR</w:t>
      </w:r>
      <w:r w:rsidR="00D144E2">
        <w:rPr>
          <w:rFonts w:ascii="Times New Roman" w:hAnsi="Times New Roman" w:cs="Times New Roman"/>
          <w:sz w:val="24"/>
          <w:szCs w:val="24"/>
        </w:rPr>
        <w:t xml:space="preserve">, kterými jsou </w:t>
      </w:r>
      <w:r w:rsidR="00D144E2" w:rsidRPr="00D144E2">
        <w:rPr>
          <w:rFonts w:ascii="Times New Roman" w:hAnsi="Times New Roman" w:cs="Times New Roman"/>
          <w:sz w:val="24"/>
          <w:szCs w:val="24"/>
        </w:rPr>
        <w:t>Vnitrostátní plán ČR v oblasti energetiky a klimatu (NEKP), Státní energetick</w:t>
      </w:r>
      <w:r w:rsidR="00D144E2">
        <w:rPr>
          <w:rFonts w:ascii="Times New Roman" w:hAnsi="Times New Roman" w:cs="Times New Roman"/>
          <w:sz w:val="24"/>
          <w:szCs w:val="24"/>
        </w:rPr>
        <w:t>á</w:t>
      </w:r>
      <w:r w:rsidR="00D144E2" w:rsidRPr="00D144E2">
        <w:rPr>
          <w:rFonts w:ascii="Times New Roman" w:hAnsi="Times New Roman" w:cs="Times New Roman"/>
          <w:sz w:val="24"/>
          <w:szCs w:val="24"/>
        </w:rPr>
        <w:t xml:space="preserve"> koncepce ČR (SEK ČR) a Politi</w:t>
      </w:r>
      <w:r w:rsidR="00D144E2">
        <w:rPr>
          <w:rFonts w:ascii="Times New Roman" w:hAnsi="Times New Roman" w:cs="Times New Roman"/>
          <w:sz w:val="24"/>
          <w:szCs w:val="24"/>
        </w:rPr>
        <w:t xml:space="preserve">ka ochrany klimatu ČR (POK ČR). V současnosti proběhlo 1. kolo veřejného konzultačního procesu k NKEP, který vychází z </w:t>
      </w:r>
      <w:r w:rsidR="00D144E2" w:rsidRPr="00D144E2">
        <w:rPr>
          <w:rFonts w:ascii="Times New Roman" w:hAnsi="Times New Roman" w:cs="Times New Roman"/>
          <w:sz w:val="24"/>
          <w:szCs w:val="24"/>
        </w:rPr>
        <w:t>makroekonomické</w:t>
      </w:r>
      <w:r w:rsidR="00D144E2">
        <w:rPr>
          <w:rFonts w:ascii="Times New Roman" w:hAnsi="Times New Roman" w:cs="Times New Roman"/>
          <w:sz w:val="24"/>
          <w:szCs w:val="24"/>
        </w:rPr>
        <w:t>ho</w:t>
      </w:r>
      <w:r w:rsidR="00D144E2" w:rsidRPr="00D144E2">
        <w:rPr>
          <w:rFonts w:ascii="Times New Roman" w:hAnsi="Times New Roman" w:cs="Times New Roman"/>
          <w:sz w:val="24"/>
          <w:szCs w:val="24"/>
        </w:rPr>
        <w:t xml:space="preserve"> a energetické</w:t>
      </w:r>
      <w:r w:rsidR="00D144E2">
        <w:rPr>
          <w:rFonts w:ascii="Times New Roman" w:hAnsi="Times New Roman" w:cs="Times New Roman"/>
          <w:sz w:val="24"/>
          <w:szCs w:val="24"/>
        </w:rPr>
        <w:t>ho</w:t>
      </w:r>
      <w:r w:rsidR="00D144E2" w:rsidRPr="00D144E2">
        <w:rPr>
          <w:rFonts w:ascii="Times New Roman" w:hAnsi="Times New Roman" w:cs="Times New Roman"/>
          <w:sz w:val="24"/>
          <w:szCs w:val="24"/>
        </w:rPr>
        <w:t xml:space="preserve"> modelování v rámci </w:t>
      </w:r>
      <w:r w:rsidR="00D144E2">
        <w:rPr>
          <w:rFonts w:ascii="Times New Roman" w:hAnsi="Times New Roman" w:cs="Times New Roman"/>
          <w:sz w:val="24"/>
          <w:szCs w:val="24"/>
        </w:rPr>
        <w:t>projektu</w:t>
      </w:r>
      <w:r w:rsidR="00D144E2" w:rsidRPr="00D144E2">
        <w:rPr>
          <w:rFonts w:ascii="Times New Roman" w:hAnsi="Times New Roman" w:cs="Times New Roman"/>
          <w:sz w:val="24"/>
          <w:szCs w:val="24"/>
        </w:rPr>
        <w:t xml:space="preserve"> SEEPIA </w:t>
      </w:r>
      <w:r w:rsidR="00D144E2">
        <w:rPr>
          <w:rFonts w:ascii="Times New Roman" w:hAnsi="Times New Roman" w:cs="Times New Roman"/>
          <w:sz w:val="24"/>
          <w:szCs w:val="24"/>
        </w:rPr>
        <w:t>v 1. fázi</w:t>
      </w:r>
      <w:r w:rsidR="00D144E2" w:rsidRPr="00D144E2">
        <w:rPr>
          <w:rFonts w:ascii="Times New Roman" w:hAnsi="Times New Roman" w:cs="Times New Roman"/>
          <w:sz w:val="24"/>
          <w:szCs w:val="24"/>
        </w:rPr>
        <w:t xml:space="preserve"> zaměřené</w:t>
      </w:r>
      <w:r w:rsidR="00D144E2">
        <w:rPr>
          <w:rFonts w:ascii="Times New Roman" w:hAnsi="Times New Roman" w:cs="Times New Roman"/>
          <w:sz w:val="24"/>
          <w:szCs w:val="24"/>
        </w:rPr>
        <w:t>ho</w:t>
      </w:r>
      <w:r w:rsidR="00D144E2" w:rsidRPr="00D144E2">
        <w:rPr>
          <w:rFonts w:ascii="Times New Roman" w:hAnsi="Times New Roman" w:cs="Times New Roman"/>
          <w:sz w:val="24"/>
          <w:szCs w:val="24"/>
        </w:rPr>
        <w:t xml:space="preserve"> na </w:t>
      </w:r>
      <w:r w:rsidR="00D144E2">
        <w:rPr>
          <w:rFonts w:ascii="Times New Roman" w:hAnsi="Times New Roman" w:cs="Times New Roman"/>
          <w:sz w:val="24"/>
          <w:szCs w:val="24"/>
        </w:rPr>
        <w:t>stanovení</w:t>
      </w:r>
      <w:r w:rsidR="00D144E2" w:rsidRPr="00D144E2">
        <w:rPr>
          <w:rFonts w:ascii="Times New Roman" w:hAnsi="Times New Roman" w:cs="Times New Roman"/>
          <w:sz w:val="24"/>
          <w:szCs w:val="24"/>
        </w:rPr>
        <w:t xml:space="preserve"> dopadů</w:t>
      </w:r>
      <w:r w:rsidR="00D144E2">
        <w:rPr>
          <w:rFonts w:ascii="Times New Roman" w:hAnsi="Times New Roman" w:cs="Times New Roman"/>
          <w:sz w:val="24"/>
          <w:szCs w:val="24"/>
        </w:rPr>
        <w:t xml:space="preserve"> závazků ČR v rámci FF55</w:t>
      </w:r>
      <w:r w:rsidR="00D144E2" w:rsidRPr="00D144E2">
        <w:rPr>
          <w:rFonts w:ascii="Times New Roman" w:hAnsi="Times New Roman" w:cs="Times New Roman"/>
          <w:sz w:val="24"/>
          <w:szCs w:val="24"/>
        </w:rPr>
        <w:t>.</w:t>
      </w:r>
      <w:r w:rsidR="00D144E2">
        <w:rPr>
          <w:rFonts w:ascii="Times New Roman" w:hAnsi="Times New Roman" w:cs="Times New Roman"/>
          <w:sz w:val="24"/>
          <w:szCs w:val="24"/>
        </w:rPr>
        <w:t xml:space="preserve"> </w:t>
      </w:r>
      <w:r w:rsidR="00F04FB9">
        <w:rPr>
          <w:rFonts w:ascii="Times New Roman" w:hAnsi="Times New Roman" w:cs="Times New Roman"/>
          <w:sz w:val="24"/>
          <w:szCs w:val="24"/>
        </w:rPr>
        <w:t>Projekt SEEPIA předpokládá postupný pokles spotřeby energií vlivem úsporných a inovativních opatření zejména v průmyslu a rozvoj nových technologií jako jsou malé modulární reaktory a vodíkové tepelné procesy.</w:t>
      </w:r>
    </w:p>
    <w:p w:rsidR="00E57689" w:rsidRDefault="00F04FB9" w:rsidP="00B60B92">
      <w:pPr>
        <w:spacing w:after="0"/>
        <w:rPr>
          <w:rFonts w:ascii="Times New Roman" w:hAnsi="Times New Roman" w:cs="Times New Roman"/>
          <w:sz w:val="24"/>
          <w:szCs w:val="24"/>
        </w:rPr>
      </w:pPr>
      <w:r>
        <w:rPr>
          <w:rFonts w:ascii="Times New Roman" w:hAnsi="Times New Roman" w:cs="Times New Roman"/>
          <w:sz w:val="24"/>
          <w:szCs w:val="24"/>
        </w:rPr>
        <w:t>V diskuzi upozornili účastníci semináře na nedostatečnou kapacitu záložních pohotových zdrojů, doplňujících růst výroby elektřiny z</w:t>
      </w:r>
      <w:r w:rsidR="000F6425">
        <w:rPr>
          <w:rFonts w:ascii="Times New Roman" w:hAnsi="Times New Roman" w:cs="Times New Roman"/>
          <w:sz w:val="24"/>
          <w:szCs w:val="24"/>
        </w:rPr>
        <w:t xml:space="preserve">ejména z fotovoltaických elektráren, které mají velmi nízké využití kalendářní doby. I přes předpokládaný rozvoj akumulace a flexibility spotřeby je nezbytný </w:t>
      </w:r>
      <w:r w:rsidR="000F6425" w:rsidRPr="000F6425">
        <w:rPr>
          <w:rFonts w:ascii="Times New Roman" w:hAnsi="Times New Roman" w:cs="Times New Roman"/>
          <w:sz w:val="24"/>
          <w:szCs w:val="24"/>
        </w:rPr>
        <w:t xml:space="preserve">paralelní rozvoj zdrojů, především na plynná paliva, kde zemní plyn (ZP) může být </w:t>
      </w:r>
      <w:r w:rsidR="001D56E2">
        <w:rPr>
          <w:rFonts w:ascii="Times New Roman" w:hAnsi="Times New Roman" w:cs="Times New Roman"/>
          <w:sz w:val="24"/>
          <w:szCs w:val="24"/>
        </w:rPr>
        <w:t>postupně</w:t>
      </w:r>
      <w:r w:rsidR="000F6425" w:rsidRPr="000F6425">
        <w:rPr>
          <w:rFonts w:ascii="Times New Roman" w:hAnsi="Times New Roman" w:cs="Times New Roman"/>
          <w:sz w:val="24"/>
          <w:szCs w:val="24"/>
        </w:rPr>
        <w:t xml:space="preserve"> nahrazen vodíkem či jinými druhy bezemisních paliv. </w:t>
      </w:r>
    </w:p>
    <w:p w:rsidR="00E57689" w:rsidRDefault="00E57689" w:rsidP="00E57689">
      <w:pPr>
        <w:spacing w:after="0"/>
        <w:rPr>
          <w:rFonts w:ascii="Times New Roman" w:hAnsi="Times New Roman" w:cs="Times New Roman"/>
          <w:sz w:val="24"/>
          <w:szCs w:val="24"/>
        </w:rPr>
      </w:pPr>
      <w:r w:rsidRPr="00E57689">
        <w:rPr>
          <w:rFonts w:ascii="Times New Roman" w:hAnsi="Times New Roman" w:cs="Times New Roman"/>
          <w:sz w:val="24"/>
          <w:szCs w:val="24"/>
        </w:rPr>
        <w:t xml:space="preserve">Plán </w:t>
      </w:r>
      <w:r>
        <w:rPr>
          <w:rFonts w:ascii="Times New Roman" w:hAnsi="Times New Roman" w:cs="Times New Roman"/>
          <w:sz w:val="24"/>
          <w:szCs w:val="24"/>
        </w:rPr>
        <w:t xml:space="preserve">NKEP </w:t>
      </w:r>
      <w:r w:rsidRPr="00E57689">
        <w:rPr>
          <w:rFonts w:ascii="Times New Roman" w:hAnsi="Times New Roman" w:cs="Times New Roman"/>
          <w:sz w:val="24"/>
          <w:szCs w:val="24"/>
        </w:rPr>
        <w:t xml:space="preserve">předpokládá absolutní snížení spotřeby energií v průmyslu, aniž by bylo specifikováno, jak tohoto snížení dosáhnout. Průmyslové podniky, zejména energeticky náročné výroby sice investují velké prostředky do snižování energetické náročnosti své produkce, musí však zároveň zvyšovat kapacitu výroby, aby udržely či zvýšily obchodní podíl na trzích svých </w:t>
      </w:r>
      <w:r w:rsidRPr="00E57689">
        <w:rPr>
          <w:rFonts w:ascii="Times New Roman" w:hAnsi="Times New Roman" w:cs="Times New Roman"/>
          <w:sz w:val="24"/>
          <w:szCs w:val="24"/>
        </w:rPr>
        <w:lastRenderedPageBreak/>
        <w:t>výrobků. Celková spotřeba u prosperujících podniků spíše mírně roste, zejména při nutnosti instalace dalšího zařízení a technologií na ochranu životního prostředí (např. odprášení, CCS technologie).</w:t>
      </w:r>
    </w:p>
    <w:p w:rsidR="00E57689" w:rsidRDefault="00E57689" w:rsidP="00E57689">
      <w:pPr>
        <w:spacing w:after="0"/>
        <w:rPr>
          <w:rFonts w:ascii="Times New Roman" w:hAnsi="Times New Roman" w:cs="Times New Roman"/>
          <w:sz w:val="24"/>
          <w:szCs w:val="24"/>
        </w:rPr>
      </w:pPr>
    </w:p>
    <w:p w:rsidR="00E57689" w:rsidRDefault="00E57689" w:rsidP="00E57689">
      <w:pPr>
        <w:spacing w:after="0"/>
        <w:rPr>
          <w:rFonts w:ascii="Times New Roman" w:hAnsi="Times New Roman" w:cs="Times New Roman"/>
          <w:b/>
          <w:sz w:val="24"/>
          <w:szCs w:val="24"/>
        </w:rPr>
      </w:pPr>
      <w:r w:rsidRPr="00E57689">
        <w:rPr>
          <w:rFonts w:ascii="Times New Roman" w:hAnsi="Times New Roman" w:cs="Times New Roman"/>
          <w:b/>
          <w:sz w:val="24"/>
          <w:szCs w:val="24"/>
        </w:rPr>
        <w:t>Spotřeba a dodávky plynu</w:t>
      </w:r>
    </w:p>
    <w:p w:rsidR="00E57689" w:rsidRDefault="00E57689" w:rsidP="00E57689">
      <w:pPr>
        <w:spacing w:after="0"/>
        <w:rPr>
          <w:rFonts w:ascii="Times New Roman" w:hAnsi="Times New Roman" w:cs="Times New Roman"/>
          <w:b/>
          <w:sz w:val="24"/>
          <w:szCs w:val="24"/>
        </w:rPr>
      </w:pPr>
    </w:p>
    <w:p w:rsidR="0026359D" w:rsidRDefault="001D4526" w:rsidP="00E57689">
      <w:pPr>
        <w:spacing w:after="0"/>
        <w:rPr>
          <w:rFonts w:ascii="Times New Roman" w:hAnsi="Times New Roman" w:cs="Times New Roman"/>
          <w:sz w:val="24"/>
          <w:szCs w:val="24"/>
        </w:rPr>
      </w:pPr>
      <w:r>
        <w:rPr>
          <w:rFonts w:ascii="Times New Roman" w:hAnsi="Times New Roman" w:cs="Times New Roman"/>
          <w:sz w:val="24"/>
          <w:szCs w:val="24"/>
        </w:rPr>
        <w:t>Perspektivy dodávek plynu</w:t>
      </w:r>
      <w:r w:rsidRPr="001D4526">
        <w:rPr>
          <w:rFonts w:ascii="Times New Roman" w:hAnsi="Times New Roman" w:cs="Times New Roman"/>
          <w:sz w:val="24"/>
          <w:szCs w:val="24"/>
        </w:rPr>
        <w:t xml:space="preserve"> </w:t>
      </w:r>
      <w:r w:rsidRPr="00E57689">
        <w:rPr>
          <w:rFonts w:ascii="Times New Roman" w:hAnsi="Times New Roman" w:cs="Times New Roman"/>
          <w:sz w:val="24"/>
          <w:szCs w:val="24"/>
        </w:rPr>
        <w:t>do ČR</w:t>
      </w:r>
      <w:r>
        <w:rPr>
          <w:rFonts w:ascii="Times New Roman" w:hAnsi="Times New Roman" w:cs="Times New Roman"/>
          <w:sz w:val="24"/>
          <w:szCs w:val="24"/>
        </w:rPr>
        <w:t xml:space="preserve">, </w:t>
      </w:r>
      <w:r w:rsidR="00E57689">
        <w:rPr>
          <w:rFonts w:ascii="Times New Roman" w:hAnsi="Times New Roman" w:cs="Times New Roman"/>
          <w:sz w:val="24"/>
          <w:szCs w:val="24"/>
        </w:rPr>
        <w:t xml:space="preserve">jeho </w:t>
      </w:r>
      <w:r>
        <w:rPr>
          <w:rFonts w:ascii="Times New Roman" w:hAnsi="Times New Roman" w:cs="Times New Roman"/>
          <w:sz w:val="24"/>
          <w:szCs w:val="24"/>
        </w:rPr>
        <w:t>dopravu a uskladnění prezentoval Ing. Zaplatílek z oboru plynárenství MPO.</w:t>
      </w:r>
      <w:r w:rsidR="00E57689" w:rsidRPr="00E57689">
        <w:rPr>
          <w:rFonts w:ascii="Times New Roman" w:hAnsi="Times New Roman" w:cs="Times New Roman"/>
          <w:sz w:val="24"/>
          <w:szCs w:val="24"/>
        </w:rPr>
        <w:t xml:space="preserve"> </w:t>
      </w:r>
      <w:r>
        <w:rPr>
          <w:rFonts w:ascii="Times New Roman" w:hAnsi="Times New Roman" w:cs="Times New Roman"/>
          <w:sz w:val="24"/>
          <w:szCs w:val="24"/>
        </w:rPr>
        <w:t xml:space="preserve">Předpokládá se další rozvoj terminálů na dodávky LNG, který se stává hlavním zdrojem plynu pro Evropu. </w:t>
      </w:r>
      <w:r w:rsidR="004F1A53">
        <w:rPr>
          <w:rFonts w:ascii="Times New Roman" w:hAnsi="Times New Roman" w:cs="Times New Roman"/>
          <w:sz w:val="24"/>
          <w:szCs w:val="24"/>
        </w:rPr>
        <w:t>Česká republika se mění z tranzitní země na konečnou destinaci. Pro</w:t>
      </w:r>
      <w:r w:rsidR="0026359D">
        <w:rPr>
          <w:rFonts w:ascii="Times New Roman" w:hAnsi="Times New Roman" w:cs="Times New Roman"/>
          <w:sz w:val="24"/>
          <w:szCs w:val="24"/>
        </w:rPr>
        <w:t xml:space="preserve"> rozvoj kapacit těžby ZP jsou potřebné dlouhodobé kontrakty s těžaři, ochotu k trvalejším závazkům však brzdí nejistota vývoje cen povolenek a dynamika budoucí náhrady vodíkem. Řešením by mohl být aglomerovaný nákup ZP Evropskou unií, který se postupně uvádí do praxe. Pro Česko je náhrada vodíkem teoreticky dosažitelná převážně importem, pokud bude dobudována evropská infrastruktura. </w:t>
      </w:r>
    </w:p>
    <w:p w:rsidR="001D4526" w:rsidRDefault="0026359D" w:rsidP="001D4526">
      <w:pPr>
        <w:spacing w:after="0"/>
        <w:rPr>
          <w:rFonts w:ascii="Times New Roman" w:hAnsi="Times New Roman" w:cs="Times New Roman"/>
          <w:sz w:val="24"/>
          <w:szCs w:val="24"/>
        </w:rPr>
      </w:pPr>
      <w:r>
        <w:rPr>
          <w:rFonts w:ascii="Times New Roman" w:hAnsi="Times New Roman" w:cs="Times New Roman"/>
          <w:sz w:val="24"/>
          <w:szCs w:val="24"/>
        </w:rPr>
        <w:t xml:space="preserve">V diskuzi </w:t>
      </w:r>
      <w:r w:rsidR="006A3342">
        <w:rPr>
          <w:rFonts w:ascii="Times New Roman" w:hAnsi="Times New Roman" w:cs="Times New Roman"/>
          <w:sz w:val="24"/>
          <w:szCs w:val="24"/>
        </w:rPr>
        <w:t>zpochybnili zástupci průmyslu předpoklad útlumu</w:t>
      </w:r>
      <w:r w:rsidR="006A3342" w:rsidRPr="00E57689">
        <w:rPr>
          <w:rFonts w:ascii="Times New Roman" w:hAnsi="Times New Roman" w:cs="Times New Roman"/>
          <w:sz w:val="24"/>
          <w:szCs w:val="24"/>
        </w:rPr>
        <w:t xml:space="preserve"> spotřeby ZP</w:t>
      </w:r>
      <w:r w:rsidR="006A3342">
        <w:rPr>
          <w:rFonts w:ascii="Times New Roman" w:hAnsi="Times New Roman" w:cs="Times New Roman"/>
          <w:sz w:val="24"/>
          <w:szCs w:val="24"/>
        </w:rPr>
        <w:t>,</w:t>
      </w:r>
      <w:r w:rsidR="006A3342" w:rsidRPr="006A3342">
        <w:rPr>
          <w:rFonts w:ascii="Times New Roman" w:hAnsi="Times New Roman" w:cs="Times New Roman"/>
          <w:sz w:val="24"/>
          <w:szCs w:val="24"/>
        </w:rPr>
        <w:t xml:space="preserve"> </w:t>
      </w:r>
      <w:r w:rsidR="006A3342" w:rsidRPr="00E57689">
        <w:rPr>
          <w:rFonts w:ascii="Times New Roman" w:hAnsi="Times New Roman" w:cs="Times New Roman"/>
          <w:sz w:val="24"/>
          <w:szCs w:val="24"/>
        </w:rPr>
        <w:t>uvažov</w:t>
      </w:r>
      <w:r w:rsidR="006A3342">
        <w:rPr>
          <w:rFonts w:ascii="Times New Roman" w:hAnsi="Times New Roman" w:cs="Times New Roman"/>
          <w:sz w:val="24"/>
          <w:szCs w:val="24"/>
        </w:rPr>
        <w:t>aný</w:t>
      </w:r>
      <w:r w:rsidR="006A3342" w:rsidRPr="00E57689">
        <w:rPr>
          <w:rFonts w:ascii="Times New Roman" w:hAnsi="Times New Roman" w:cs="Times New Roman"/>
          <w:sz w:val="24"/>
          <w:szCs w:val="24"/>
        </w:rPr>
        <w:t xml:space="preserve"> </w:t>
      </w:r>
      <w:r w:rsidR="006A3342">
        <w:rPr>
          <w:rFonts w:ascii="Times New Roman" w:hAnsi="Times New Roman" w:cs="Times New Roman"/>
          <w:sz w:val="24"/>
          <w:szCs w:val="24"/>
        </w:rPr>
        <w:t>v</w:t>
      </w:r>
      <w:r w:rsidR="006A3342" w:rsidRPr="00E57689">
        <w:rPr>
          <w:rFonts w:ascii="Times New Roman" w:hAnsi="Times New Roman" w:cs="Times New Roman"/>
          <w:sz w:val="24"/>
          <w:szCs w:val="24"/>
        </w:rPr>
        <w:t xml:space="preserve"> </w:t>
      </w:r>
      <w:r w:rsidR="006A3342">
        <w:rPr>
          <w:rFonts w:ascii="Times New Roman" w:hAnsi="Times New Roman" w:cs="Times New Roman"/>
          <w:sz w:val="24"/>
          <w:szCs w:val="24"/>
        </w:rPr>
        <w:t>NKEP</w:t>
      </w:r>
      <w:r w:rsidR="006A3342">
        <w:rPr>
          <w:rFonts w:ascii="Times New Roman" w:hAnsi="Times New Roman" w:cs="Times New Roman"/>
          <w:sz w:val="24"/>
          <w:szCs w:val="24"/>
        </w:rPr>
        <w:t>.</w:t>
      </w:r>
      <w:r w:rsidR="00E57689" w:rsidRPr="00E57689">
        <w:rPr>
          <w:rFonts w:ascii="Times New Roman" w:hAnsi="Times New Roman" w:cs="Times New Roman"/>
          <w:sz w:val="24"/>
          <w:szCs w:val="24"/>
        </w:rPr>
        <w:t xml:space="preserve"> P</w:t>
      </w:r>
      <w:r w:rsidR="00A14E76">
        <w:rPr>
          <w:rFonts w:ascii="Times New Roman" w:hAnsi="Times New Roman" w:cs="Times New Roman"/>
          <w:sz w:val="24"/>
          <w:szCs w:val="24"/>
        </w:rPr>
        <w:t>lán</w:t>
      </w:r>
      <w:r w:rsidR="00E57689" w:rsidRPr="00E57689">
        <w:rPr>
          <w:rFonts w:ascii="Times New Roman" w:hAnsi="Times New Roman" w:cs="Times New Roman"/>
          <w:sz w:val="24"/>
          <w:szCs w:val="24"/>
        </w:rPr>
        <w:t xml:space="preserve"> předpokládá náhradu tepelných procesů v</w:t>
      </w:r>
      <w:r w:rsidR="006A3342">
        <w:rPr>
          <w:rFonts w:ascii="Times New Roman" w:hAnsi="Times New Roman" w:cs="Times New Roman"/>
          <w:sz w:val="24"/>
          <w:szCs w:val="24"/>
        </w:rPr>
        <w:t> technologii výrob</w:t>
      </w:r>
      <w:r w:rsidR="00E57689" w:rsidRPr="00E57689">
        <w:rPr>
          <w:rFonts w:ascii="Times New Roman" w:hAnsi="Times New Roman" w:cs="Times New Roman"/>
          <w:sz w:val="24"/>
          <w:szCs w:val="24"/>
        </w:rPr>
        <w:t xml:space="preserve"> elektrifikací jako důsledek růstu nákladů na ZP v souvislosti se stoupající cenou povolenek EUA. Jako příklad je udáván pokles spotřeby plynu v roce 2022 při prudkém nárůstu jeho ceny. Tento pokles však nebyl způsoben úspornými opatřeními (většina byla realizována již dříve), nýbrž odstávkami výroby v energeticky náročných provozech s negativními dopady na ekonomiku firem a příznivými klimatickými podmínkami.</w:t>
      </w:r>
      <w:r w:rsidR="006A3342">
        <w:rPr>
          <w:rFonts w:ascii="Times New Roman" w:hAnsi="Times New Roman" w:cs="Times New Roman"/>
          <w:sz w:val="24"/>
          <w:szCs w:val="24"/>
        </w:rPr>
        <w:t xml:space="preserve"> Oproti předpokladu</w:t>
      </w:r>
      <w:r w:rsidR="00E57689" w:rsidRPr="00E57689">
        <w:rPr>
          <w:rFonts w:ascii="Times New Roman" w:hAnsi="Times New Roman" w:cs="Times New Roman"/>
          <w:sz w:val="24"/>
          <w:szCs w:val="24"/>
        </w:rPr>
        <w:t xml:space="preserve"> </w:t>
      </w:r>
      <w:r w:rsidR="006A3342">
        <w:rPr>
          <w:rFonts w:ascii="Times New Roman" w:hAnsi="Times New Roman" w:cs="Times New Roman"/>
          <w:sz w:val="24"/>
          <w:szCs w:val="24"/>
        </w:rPr>
        <w:t>není reálný</w:t>
      </w:r>
      <w:r w:rsidR="00E57689" w:rsidRPr="00E57689">
        <w:rPr>
          <w:rFonts w:ascii="Times New Roman" w:hAnsi="Times New Roman" w:cs="Times New Roman"/>
          <w:sz w:val="24"/>
          <w:szCs w:val="24"/>
        </w:rPr>
        <w:t xml:space="preserve"> </w:t>
      </w:r>
      <w:r w:rsidR="006A3342">
        <w:rPr>
          <w:rFonts w:ascii="Times New Roman" w:hAnsi="Times New Roman" w:cs="Times New Roman"/>
          <w:sz w:val="24"/>
          <w:szCs w:val="24"/>
        </w:rPr>
        <w:t>uvažovaný</w:t>
      </w:r>
      <w:r w:rsidR="00E57689" w:rsidRPr="00E57689">
        <w:rPr>
          <w:rFonts w:ascii="Times New Roman" w:hAnsi="Times New Roman" w:cs="Times New Roman"/>
          <w:sz w:val="24"/>
          <w:szCs w:val="24"/>
        </w:rPr>
        <w:t xml:space="preserve"> rozsah náhrady spalovacích t</w:t>
      </w:r>
      <w:r w:rsidR="000F4E78">
        <w:rPr>
          <w:rFonts w:ascii="Times New Roman" w:hAnsi="Times New Roman" w:cs="Times New Roman"/>
          <w:sz w:val="24"/>
          <w:szCs w:val="24"/>
        </w:rPr>
        <w:t>epelných procesů elektrifikací, protože p</w:t>
      </w:r>
      <w:r w:rsidR="00E57689" w:rsidRPr="00E57689">
        <w:rPr>
          <w:rFonts w:ascii="Times New Roman" w:hAnsi="Times New Roman" w:cs="Times New Roman"/>
          <w:sz w:val="24"/>
          <w:szCs w:val="24"/>
        </w:rPr>
        <w:t xml:space="preserve">ro </w:t>
      </w:r>
      <w:r w:rsidR="000F4E78">
        <w:rPr>
          <w:rFonts w:ascii="Times New Roman" w:hAnsi="Times New Roman" w:cs="Times New Roman"/>
          <w:sz w:val="24"/>
          <w:szCs w:val="24"/>
        </w:rPr>
        <w:t xml:space="preserve">některé </w:t>
      </w:r>
      <w:r w:rsidR="00E57689" w:rsidRPr="00E57689">
        <w:rPr>
          <w:rFonts w:ascii="Times New Roman" w:hAnsi="Times New Roman" w:cs="Times New Roman"/>
          <w:sz w:val="24"/>
          <w:szCs w:val="24"/>
        </w:rPr>
        <w:t xml:space="preserve">tepelné procesy v technologiích </w:t>
      </w:r>
      <w:r w:rsidR="000F4E78">
        <w:rPr>
          <w:rFonts w:ascii="Times New Roman" w:hAnsi="Times New Roman" w:cs="Times New Roman"/>
          <w:sz w:val="24"/>
          <w:szCs w:val="24"/>
        </w:rPr>
        <w:t>většiny</w:t>
      </w:r>
      <w:r w:rsidR="00E57689" w:rsidRPr="00E57689">
        <w:rPr>
          <w:rFonts w:ascii="Times New Roman" w:hAnsi="Times New Roman" w:cs="Times New Roman"/>
          <w:sz w:val="24"/>
          <w:szCs w:val="24"/>
        </w:rPr>
        <w:t xml:space="preserve"> oborů neexistuje funkční alternativa.</w:t>
      </w:r>
      <w:r w:rsidR="000F4E78">
        <w:rPr>
          <w:rFonts w:ascii="Times New Roman" w:hAnsi="Times New Roman" w:cs="Times New Roman"/>
          <w:sz w:val="24"/>
          <w:szCs w:val="24"/>
        </w:rPr>
        <w:t xml:space="preserve">  </w:t>
      </w:r>
    </w:p>
    <w:p w:rsidR="001D4526" w:rsidRDefault="001D4526" w:rsidP="001D4526">
      <w:pPr>
        <w:spacing w:after="0"/>
        <w:rPr>
          <w:rFonts w:ascii="Times New Roman" w:hAnsi="Times New Roman" w:cs="Times New Roman"/>
          <w:sz w:val="24"/>
          <w:szCs w:val="24"/>
        </w:rPr>
      </w:pPr>
    </w:p>
    <w:p w:rsidR="00A14E76" w:rsidRDefault="00A14E76" w:rsidP="001D4526">
      <w:pPr>
        <w:spacing w:after="0"/>
        <w:rPr>
          <w:rFonts w:ascii="Times New Roman" w:hAnsi="Times New Roman" w:cs="Times New Roman"/>
          <w:b/>
          <w:sz w:val="24"/>
          <w:szCs w:val="24"/>
        </w:rPr>
      </w:pPr>
      <w:r w:rsidRPr="00A14E76">
        <w:rPr>
          <w:rFonts w:ascii="Times New Roman" w:hAnsi="Times New Roman" w:cs="Times New Roman"/>
          <w:b/>
          <w:sz w:val="24"/>
          <w:szCs w:val="24"/>
        </w:rPr>
        <w:t>Předpoklady a překážky rozvoje energetických zdrojů a infrastruktury</w:t>
      </w:r>
    </w:p>
    <w:p w:rsidR="00A14E76" w:rsidRPr="00A14E76" w:rsidRDefault="00A14E76" w:rsidP="001D4526">
      <w:pPr>
        <w:spacing w:after="0"/>
        <w:rPr>
          <w:rFonts w:ascii="Times New Roman" w:hAnsi="Times New Roman" w:cs="Times New Roman"/>
          <w:b/>
          <w:sz w:val="24"/>
          <w:szCs w:val="24"/>
        </w:rPr>
      </w:pPr>
    </w:p>
    <w:p w:rsidR="00E1015D" w:rsidRDefault="009D4233" w:rsidP="001D4526">
      <w:pPr>
        <w:spacing w:after="0"/>
        <w:rPr>
          <w:rFonts w:ascii="Times New Roman" w:hAnsi="Times New Roman" w:cs="Times New Roman"/>
          <w:sz w:val="24"/>
          <w:szCs w:val="24"/>
        </w:rPr>
      </w:pPr>
      <w:r>
        <w:rPr>
          <w:rFonts w:ascii="Times New Roman" w:hAnsi="Times New Roman" w:cs="Times New Roman"/>
          <w:sz w:val="24"/>
          <w:szCs w:val="24"/>
        </w:rPr>
        <w:t>JUDr</w:t>
      </w:r>
      <w:r w:rsidR="001D4526">
        <w:rPr>
          <w:rFonts w:ascii="Times New Roman" w:hAnsi="Times New Roman" w:cs="Times New Roman"/>
          <w:sz w:val="24"/>
          <w:szCs w:val="24"/>
        </w:rPr>
        <w:t xml:space="preserve">. Krejčiříková z ČEZ </w:t>
      </w:r>
      <w:r w:rsidR="00A14E76">
        <w:rPr>
          <w:rFonts w:ascii="Times New Roman" w:hAnsi="Times New Roman" w:cs="Times New Roman"/>
          <w:sz w:val="24"/>
          <w:szCs w:val="24"/>
        </w:rPr>
        <w:t>poukázala</w:t>
      </w:r>
      <w:r w:rsidR="001D4526">
        <w:rPr>
          <w:rFonts w:ascii="Times New Roman" w:hAnsi="Times New Roman" w:cs="Times New Roman"/>
          <w:sz w:val="24"/>
          <w:szCs w:val="24"/>
        </w:rPr>
        <w:t xml:space="preserve"> ve své prezentaci</w:t>
      </w:r>
      <w:r w:rsidR="00A14E76">
        <w:rPr>
          <w:rFonts w:ascii="Times New Roman" w:hAnsi="Times New Roman" w:cs="Times New Roman"/>
          <w:sz w:val="24"/>
          <w:szCs w:val="24"/>
        </w:rPr>
        <w:t xml:space="preserve"> na zdlouhavé povolovací procesy způsobené nedodržováním zákonných lhůt, možností </w:t>
      </w:r>
      <w:r w:rsidR="007667B0">
        <w:rPr>
          <w:rFonts w:ascii="Times New Roman" w:hAnsi="Times New Roman" w:cs="Times New Roman"/>
          <w:sz w:val="24"/>
          <w:szCs w:val="24"/>
        </w:rPr>
        <w:t xml:space="preserve">mnohonásobného odvolání a </w:t>
      </w:r>
      <w:r w:rsidR="00E1015D">
        <w:rPr>
          <w:rFonts w:ascii="Times New Roman" w:hAnsi="Times New Roman" w:cs="Times New Roman"/>
          <w:sz w:val="24"/>
          <w:szCs w:val="24"/>
        </w:rPr>
        <w:t>n</w:t>
      </w:r>
      <w:r w:rsidR="007667B0" w:rsidRPr="007667B0">
        <w:rPr>
          <w:rFonts w:ascii="Times New Roman" w:hAnsi="Times New Roman" w:cs="Times New Roman"/>
          <w:sz w:val="24"/>
          <w:szCs w:val="24"/>
        </w:rPr>
        <w:t>apadání (přezkumy) podk</w:t>
      </w:r>
      <w:r w:rsidR="00283C68">
        <w:rPr>
          <w:rFonts w:ascii="Times New Roman" w:hAnsi="Times New Roman" w:cs="Times New Roman"/>
          <w:sz w:val="24"/>
          <w:szCs w:val="24"/>
        </w:rPr>
        <w:t>ladových stanovisek i dlouho po</w:t>
      </w:r>
      <w:r w:rsidR="007667B0" w:rsidRPr="007667B0">
        <w:rPr>
          <w:rFonts w:ascii="Times New Roman" w:hAnsi="Times New Roman" w:cs="Times New Roman"/>
          <w:sz w:val="24"/>
          <w:szCs w:val="24"/>
        </w:rPr>
        <w:t>té, kdy už je vydáno rozhodnutí, pro nějž jsou podkladem.</w:t>
      </w:r>
      <w:r w:rsidR="001D4526">
        <w:rPr>
          <w:rFonts w:ascii="Times New Roman" w:hAnsi="Times New Roman" w:cs="Times New Roman"/>
          <w:sz w:val="24"/>
          <w:szCs w:val="24"/>
        </w:rPr>
        <w:t xml:space="preserve"> </w:t>
      </w:r>
      <w:r w:rsidR="007667B0">
        <w:rPr>
          <w:rFonts w:ascii="Times New Roman" w:hAnsi="Times New Roman" w:cs="Times New Roman"/>
          <w:sz w:val="24"/>
          <w:szCs w:val="24"/>
        </w:rPr>
        <w:t xml:space="preserve">Situaci částečně zlepší novela liniového zákona a vznik Dopravního a energetického úřadu. </w:t>
      </w:r>
      <w:r w:rsidR="00E1015D">
        <w:rPr>
          <w:rFonts w:ascii="Times New Roman" w:hAnsi="Times New Roman" w:cs="Times New Roman"/>
          <w:sz w:val="24"/>
          <w:szCs w:val="24"/>
        </w:rPr>
        <w:t>Nedořešená zůstává problematika povolování těžby nerostných surovin a akceleračních zón pro výstavbu OZE.</w:t>
      </w:r>
    </w:p>
    <w:p w:rsidR="00970C6E" w:rsidRDefault="00D14874" w:rsidP="001D4526">
      <w:pPr>
        <w:spacing w:after="0"/>
        <w:rPr>
          <w:rFonts w:ascii="Times New Roman" w:hAnsi="Times New Roman" w:cs="Times New Roman"/>
          <w:sz w:val="24"/>
          <w:szCs w:val="24"/>
        </w:rPr>
      </w:pPr>
      <w:r>
        <w:rPr>
          <w:rFonts w:ascii="Times New Roman" w:hAnsi="Times New Roman" w:cs="Times New Roman"/>
          <w:sz w:val="24"/>
          <w:szCs w:val="24"/>
        </w:rPr>
        <w:t>Zástupce vrchního ředitele sekce ochrany klimatu MŽP Ing. Zámyslický prezentoval závazky ČR</w:t>
      </w:r>
      <w:r w:rsidR="00970C6E">
        <w:rPr>
          <w:rFonts w:ascii="Times New Roman" w:hAnsi="Times New Roman" w:cs="Times New Roman"/>
          <w:sz w:val="24"/>
          <w:szCs w:val="24"/>
        </w:rPr>
        <w:t xml:space="preserve"> na snižování emisí CO2, </w:t>
      </w:r>
      <w:r w:rsidR="00A86A8F">
        <w:rPr>
          <w:rFonts w:ascii="Times New Roman" w:hAnsi="Times New Roman" w:cs="Times New Roman"/>
          <w:sz w:val="24"/>
          <w:szCs w:val="24"/>
        </w:rPr>
        <w:t xml:space="preserve">na </w:t>
      </w:r>
      <w:r w:rsidR="00970C6E">
        <w:rPr>
          <w:rFonts w:ascii="Times New Roman" w:hAnsi="Times New Roman" w:cs="Times New Roman"/>
          <w:sz w:val="24"/>
          <w:szCs w:val="24"/>
        </w:rPr>
        <w:t>zvýšení podílu OZE na výrobě energie a na zvýšení energetické efektivity v rámci evropského klimatického balíčku FF55. Reálný odhad zdrojů ze systému ETS</w:t>
      </w:r>
    </w:p>
    <w:p w:rsidR="00952C16" w:rsidRDefault="006C301E" w:rsidP="001D4526">
      <w:pPr>
        <w:spacing w:after="0"/>
        <w:rPr>
          <w:rFonts w:ascii="Times New Roman" w:hAnsi="Times New Roman" w:cs="Times New Roman"/>
          <w:sz w:val="24"/>
          <w:szCs w:val="24"/>
        </w:rPr>
      </w:pPr>
      <w:r>
        <w:rPr>
          <w:rFonts w:ascii="Times New Roman" w:hAnsi="Times New Roman" w:cs="Times New Roman"/>
          <w:sz w:val="24"/>
          <w:szCs w:val="24"/>
        </w:rPr>
        <w:t>n</w:t>
      </w:r>
      <w:r w:rsidR="00970C6E">
        <w:rPr>
          <w:rFonts w:ascii="Times New Roman" w:hAnsi="Times New Roman" w:cs="Times New Roman"/>
          <w:sz w:val="24"/>
          <w:szCs w:val="24"/>
        </w:rPr>
        <w:t>a podporu investic</w:t>
      </w:r>
      <w:r>
        <w:rPr>
          <w:rFonts w:ascii="Times New Roman" w:hAnsi="Times New Roman" w:cs="Times New Roman"/>
          <w:sz w:val="24"/>
          <w:szCs w:val="24"/>
        </w:rPr>
        <w:t xml:space="preserve"> k plnění klimatických cílů se pohybuje na úrovni přes 900mld. Kč do roku 2030. V souvislostí s využitím prostředků z Modernizační</w:t>
      </w:r>
      <w:r w:rsidR="00283C68">
        <w:rPr>
          <w:rFonts w:ascii="Times New Roman" w:hAnsi="Times New Roman" w:cs="Times New Roman"/>
          <w:sz w:val="24"/>
          <w:szCs w:val="24"/>
        </w:rPr>
        <w:t>ho</w:t>
      </w:r>
      <w:r>
        <w:rPr>
          <w:rFonts w:ascii="Times New Roman" w:hAnsi="Times New Roman" w:cs="Times New Roman"/>
          <w:sz w:val="24"/>
          <w:szCs w:val="24"/>
        </w:rPr>
        <w:t xml:space="preserve"> fondu (</w:t>
      </w:r>
      <w:proofErr w:type="spellStart"/>
      <w:r>
        <w:rPr>
          <w:rFonts w:ascii="Times New Roman" w:hAnsi="Times New Roman" w:cs="Times New Roman"/>
          <w:sz w:val="24"/>
          <w:szCs w:val="24"/>
        </w:rPr>
        <w:t>MdF</w:t>
      </w:r>
      <w:proofErr w:type="spellEnd"/>
      <w:r>
        <w:rPr>
          <w:rFonts w:ascii="Times New Roman" w:hAnsi="Times New Roman" w:cs="Times New Roman"/>
          <w:sz w:val="24"/>
          <w:szCs w:val="24"/>
        </w:rPr>
        <w:t>) dochází k jeho rozšíření o podporu výroby „zeleného</w:t>
      </w:r>
      <w:r w:rsidR="00952C16">
        <w:rPr>
          <w:rFonts w:ascii="Times New Roman" w:hAnsi="Times New Roman" w:cs="Times New Roman"/>
          <w:sz w:val="24"/>
          <w:szCs w:val="24"/>
        </w:rPr>
        <w:t>“</w:t>
      </w:r>
      <w:r>
        <w:rPr>
          <w:rFonts w:ascii="Times New Roman" w:hAnsi="Times New Roman" w:cs="Times New Roman"/>
          <w:sz w:val="24"/>
          <w:szCs w:val="24"/>
        </w:rPr>
        <w:t xml:space="preserve"> vodíku, </w:t>
      </w:r>
      <w:r w:rsidR="00952C16">
        <w:rPr>
          <w:rFonts w:ascii="Times New Roman" w:hAnsi="Times New Roman" w:cs="Times New Roman"/>
          <w:sz w:val="24"/>
          <w:szCs w:val="24"/>
        </w:rPr>
        <w:t>podporu modernizace elektrizační soustavy a veřejných i ostatních sítí a veřejného osvětlení.</w:t>
      </w:r>
    </w:p>
    <w:p w:rsidR="00D81E23" w:rsidRDefault="00952C16" w:rsidP="001D4526">
      <w:pPr>
        <w:spacing w:after="0"/>
        <w:rPr>
          <w:rFonts w:ascii="Times New Roman" w:hAnsi="Times New Roman" w:cs="Times New Roman"/>
          <w:sz w:val="24"/>
          <w:szCs w:val="24"/>
        </w:rPr>
      </w:pPr>
      <w:r>
        <w:rPr>
          <w:rFonts w:ascii="Times New Roman" w:hAnsi="Times New Roman" w:cs="Times New Roman"/>
          <w:sz w:val="24"/>
          <w:szCs w:val="24"/>
        </w:rPr>
        <w:t xml:space="preserve">V diskuzi o překážkách </w:t>
      </w:r>
      <w:r w:rsidR="008645EC">
        <w:rPr>
          <w:rFonts w:ascii="Times New Roman" w:hAnsi="Times New Roman" w:cs="Times New Roman"/>
          <w:sz w:val="24"/>
          <w:szCs w:val="24"/>
        </w:rPr>
        <w:t xml:space="preserve">realizace </w:t>
      </w:r>
      <w:r w:rsidR="00A86A8F">
        <w:rPr>
          <w:rFonts w:ascii="Times New Roman" w:hAnsi="Times New Roman" w:cs="Times New Roman"/>
          <w:sz w:val="24"/>
          <w:szCs w:val="24"/>
        </w:rPr>
        <w:t>investic nejen do energetiky si</w:t>
      </w:r>
      <w:r>
        <w:rPr>
          <w:rFonts w:ascii="Times New Roman" w:hAnsi="Times New Roman" w:cs="Times New Roman"/>
          <w:sz w:val="24"/>
          <w:szCs w:val="24"/>
        </w:rPr>
        <w:t xml:space="preserve"> přítomní s</w:t>
      </w:r>
      <w:r w:rsidR="008645EC">
        <w:rPr>
          <w:rFonts w:ascii="Times New Roman" w:hAnsi="Times New Roman" w:cs="Times New Roman"/>
          <w:sz w:val="24"/>
          <w:szCs w:val="24"/>
        </w:rPr>
        <w:t>těžovali</w:t>
      </w:r>
      <w:r>
        <w:rPr>
          <w:rFonts w:ascii="Times New Roman" w:hAnsi="Times New Roman" w:cs="Times New Roman"/>
          <w:sz w:val="24"/>
          <w:szCs w:val="24"/>
        </w:rPr>
        <w:t xml:space="preserve"> na </w:t>
      </w:r>
      <w:r w:rsidR="008645EC">
        <w:rPr>
          <w:rFonts w:ascii="Times New Roman" w:hAnsi="Times New Roman" w:cs="Times New Roman"/>
          <w:sz w:val="24"/>
          <w:szCs w:val="24"/>
        </w:rPr>
        <w:t xml:space="preserve">nízkou podporu zástupců měst a obcí v povolovacích procesech. Municipality nejsou </w:t>
      </w:r>
      <w:r w:rsidR="00D81E23">
        <w:rPr>
          <w:rFonts w:ascii="Times New Roman" w:hAnsi="Times New Roman" w:cs="Times New Roman"/>
          <w:sz w:val="24"/>
          <w:szCs w:val="24"/>
        </w:rPr>
        <w:t xml:space="preserve">motivovány k podpoře průmyslové činnosti ve svém teritoriu a upřednostňují lokální zájmy před </w:t>
      </w:r>
      <w:r w:rsidR="00D81E23">
        <w:rPr>
          <w:rFonts w:ascii="Times New Roman" w:hAnsi="Times New Roman" w:cs="Times New Roman"/>
          <w:sz w:val="24"/>
          <w:szCs w:val="24"/>
        </w:rPr>
        <w:lastRenderedPageBreak/>
        <w:t xml:space="preserve">celospolečenskými. K jejich motivaci by přispěla vyšší závislost jejich rozpočtu na daňových příjmech z hospodářských výsledků v jejich regionu. </w:t>
      </w:r>
    </w:p>
    <w:p w:rsidR="00675697" w:rsidRDefault="00DF7AAE" w:rsidP="001D4526">
      <w:pPr>
        <w:spacing w:after="0"/>
        <w:rPr>
          <w:rFonts w:ascii="Times New Roman" w:hAnsi="Times New Roman" w:cs="Times New Roman"/>
          <w:sz w:val="24"/>
          <w:szCs w:val="24"/>
        </w:rPr>
      </w:pPr>
      <w:r>
        <w:rPr>
          <w:rFonts w:ascii="Times New Roman" w:hAnsi="Times New Roman" w:cs="Times New Roman"/>
          <w:sz w:val="24"/>
          <w:szCs w:val="24"/>
        </w:rPr>
        <w:t>Účastníci diskuze ocenili z</w:t>
      </w:r>
      <w:r w:rsidR="00D81E23">
        <w:rPr>
          <w:rFonts w:ascii="Times New Roman" w:hAnsi="Times New Roman" w:cs="Times New Roman"/>
          <w:sz w:val="24"/>
          <w:szCs w:val="24"/>
        </w:rPr>
        <w:t xml:space="preserve">áměr na rozšíření </w:t>
      </w:r>
      <w:r>
        <w:rPr>
          <w:rFonts w:ascii="Times New Roman" w:hAnsi="Times New Roman" w:cs="Times New Roman"/>
          <w:sz w:val="24"/>
          <w:szCs w:val="24"/>
        </w:rPr>
        <w:t>MdF</w:t>
      </w:r>
      <w:r>
        <w:rPr>
          <w:rFonts w:ascii="Times New Roman" w:hAnsi="Times New Roman" w:cs="Times New Roman"/>
          <w:sz w:val="24"/>
          <w:szCs w:val="24"/>
        </w:rPr>
        <w:t xml:space="preserve"> o program </w:t>
      </w:r>
      <w:r w:rsidR="00D81E23">
        <w:rPr>
          <w:rFonts w:ascii="Times New Roman" w:hAnsi="Times New Roman" w:cs="Times New Roman"/>
          <w:sz w:val="24"/>
          <w:szCs w:val="24"/>
        </w:rPr>
        <w:t>Greengas</w:t>
      </w:r>
      <w:r>
        <w:rPr>
          <w:rFonts w:ascii="Times New Roman" w:hAnsi="Times New Roman" w:cs="Times New Roman"/>
          <w:sz w:val="24"/>
          <w:szCs w:val="24"/>
        </w:rPr>
        <w:t xml:space="preserve"> k podpoře rozvoje výroby vodíku. Záměna zemního plynu za bezemisní plynná paliva si vyžádá masivní investice do jejich výroby, transportu a použití v energetice i technologických procesech. Pro zavedení trhu s vodíkem by měl</w:t>
      </w:r>
      <w:r w:rsidR="00283C68">
        <w:rPr>
          <w:rFonts w:ascii="Times New Roman" w:hAnsi="Times New Roman" w:cs="Times New Roman"/>
          <w:sz w:val="24"/>
          <w:szCs w:val="24"/>
        </w:rPr>
        <w:t>a</w:t>
      </w:r>
      <w:r>
        <w:rPr>
          <w:rFonts w:ascii="Times New Roman" w:hAnsi="Times New Roman" w:cs="Times New Roman"/>
          <w:sz w:val="24"/>
          <w:szCs w:val="24"/>
        </w:rPr>
        <w:t xml:space="preserve"> být podpořena </w:t>
      </w:r>
      <w:r w:rsidR="00675697">
        <w:rPr>
          <w:rFonts w:ascii="Times New Roman" w:hAnsi="Times New Roman" w:cs="Times New Roman"/>
          <w:sz w:val="24"/>
          <w:szCs w:val="24"/>
        </w:rPr>
        <w:t>výroba a užití vodíku produkovaného všemi technologiemi, ne pouze jeho zelenou variantu.</w:t>
      </w:r>
      <w:r>
        <w:rPr>
          <w:rFonts w:ascii="Times New Roman" w:hAnsi="Times New Roman" w:cs="Times New Roman"/>
          <w:sz w:val="24"/>
          <w:szCs w:val="24"/>
        </w:rPr>
        <w:t xml:space="preserve"> </w:t>
      </w:r>
    </w:p>
    <w:p w:rsidR="00675697" w:rsidRDefault="00675697" w:rsidP="001D4526">
      <w:pPr>
        <w:spacing w:after="0"/>
        <w:rPr>
          <w:rFonts w:ascii="Times New Roman" w:hAnsi="Times New Roman" w:cs="Times New Roman"/>
          <w:sz w:val="24"/>
          <w:szCs w:val="24"/>
        </w:rPr>
      </w:pPr>
    </w:p>
    <w:p w:rsidR="00675697" w:rsidRDefault="00675697" w:rsidP="001D4526">
      <w:pPr>
        <w:spacing w:after="0"/>
        <w:rPr>
          <w:rFonts w:ascii="Times New Roman" w:hAnsi="Times New Roman" w:cs="Times New Roman"/>
          <w:sz w:val="24"/>
          <w:szCs w:val="24"/>
        </w:rPr>
      </w:pPr>
      <w:r w:rsidRPr="00675697">
        <w:rPr>
          <w:rFonts w:ascii="Times New Roman" w:hAnsi="Times New Roman" w:cs="Times New Roman"/>
          <w:b/>
          <w:sz w:val="24"/>
          <w:szCs w:val="24"/>
        </w:rPr>
        <w:t>Odhad vývoje cen energetických komodit</w:t>
      </w:r>
      <w:r w:rsidR="000B3D15">
        <w:rPr>
          <w:rFonts w:ascii="Times New Roman" w:hAnsi="Times New Roman" w:cs="Times New Roman"/>
          <w:b/>
          <w:sz w:val="24"/>
          <w:szCs w:val="24"/>
        </w:rPr>
        <w:t xml:space="preserve"> a jejich regulované složky.</w:t>
      </w:r>
    </w:p>
    <w:p w:rsidR="00675697" w:rsidRDefault="00675697" w:rsidP="001D4526">
      <w:pPr>
        <w:spacing w:after="0"/>
        <w:rPr>
          <w:rFonts w:ascii="Times New Roman" w:hAnsi="Times New Roman" w:cs="Times New Roman"/>
          <w:sz w:val="24"/>
          <w:szCs w:val="24"/>
        </w:rPr>
      </w:pPr>
    </w:p>
    <w:p w:rsidR="00A84AF1" w:rsidRDefault="009D4233" w:rsidP="001D4526">
      <w:pPr>
        <w:spacing w:after="0"/>
        <w:rPr>
          <w:rFonts w:ascii="Times New Roman" w:hAnsi="Times New Roman" w:cs="Times New Roman"/>
          <w:sz w:val="24"/>
          <w:szCs w:val="24"/>
        </w:rPr>
      </w:pPr>
      <w:r>
        <w:rPr>
          <w:rFonts w:ascii="Times New Roman" w:hAnsi="Times New Roman" w:cs="Times New Roman"/>
          <w:sz w:val="24"/>
          <w:szCs w:val="24"/>
        </w:rPr>
        <w:t>Problematikou cen silové elektřiny a plynu se ve svých prezentacích zabýval</w:t>
      </w:r>
      <w:r w:rsidR="00831613">
        <w:rPr>
          <w:rFonts w:ascii="Times New Roman" w:hAnsi="Times New Roman" w:cs="Times New Roman"/>
          <w:sz w:val="24"/>
          <w:szCs w:val="24"/>
        </w:rPr>
        <w:t>i generální sekretář energetické burzy PXE David Kučera a ing. Gavor</w:t>
      </w:r>
      <w:r w:rsidR="000B3D15">
        <w:rPr>
          <w:rFonts w:ascii="Times New Roman" w:hAnsi="Times New Roman" w:cs="Times New Roman"/>
          <w:sz w:val="24"/>
          <w:szCs w:val="24"/>
        </w:rPr>
        <w:t xml:space="preserve"> ze sdružení ANDE. Vzhledem k</w:t>
      </w:r>
      <w:r w:rsidR="00891233">
        <w:rPr>
          <w:rFonts w:ascii="Times New Roman" w:hAnsi="Times New Roman" w:cs="Times New Roman"/>
          <w:sz w:val="24"/>
          <w:szCs w:val="24"/>
        </w:rPr>
        <w:t> nejistotám bilance výroby a spotřeby elektřiny v </w:t>
      </w:r>
      <w:r w:rsidR="00891233">
        <w:rPr>
          <w:rFonts w:ascii="Times New Roman" w:hAnsi="Times New Roman" w:cs="Times New Roman"/>
          <w:sz w:val="24"/>
          <w:szCs w:val="24"/>
        </w:rPr>
        <w:t>Evropě</w:t>
      </w:r>
      <w:r w:rsidR="00891233">
        <w:rPr>
          <w:rFonts w:ascii="Times New Roman" w:hAnsi="Times New Roman" w:cs="Times New Roman"/>
          <w:sz w:val="24"/>
          <w:szCs w:val="24"/>
        </w:rPr>
        <w:t xml:space="preserve"> </w:t>
      </w:r>
      <w:r w:rsidR="00A84AF1">
        <w:rPr>
          <w:rFonts w:ascii="Times New Roman" w:hAnsi="Times New Roman" w:cs="Times New Roman"/>
          <w:sz w:val="24"/>
          <w:szCs w:val="24"/>
        </w:rPr>
        <w:t>jsou prognózy zaměřeny spíše krátkodobě</w:t>
      </w:r>
      <w:r w:rsidR="00283C68">
        <w:rPr>
          <w:rFonts w:ascii="Times New Roman" w:hAnsi="Times New Roman" w:cs="Times New Roman"/>
          <w:sz w:val="24"/>
          <w:szCs w:val="24"/>
        </w:rPr>
        <w:t>,</w:t>
      </w:r>
      <w:r w:rsidR="00A84AF1">
        <w:rPr>
          <w:rFonts w:ascii="Times New Roman" w:hAnsi="Times New Roman" w:cs="Times New Roman"/>
          <w:sz w:val="24"/>
          <w:szCs w:val="24"/>
        </w:rPr>
        <w:t xml:space="preserve"> ve vazbě na vývoj forwardových a spotových cen na burzách</w:t>
      </w:r>
      <w:r w:rsidR="00283C68">
        <w:rPr>
          <w:rFonts w:ascii="Times New Roman" w:hAnsi="Times New Roman" w:cs="Times New Roman"/>
          <w:sz w:val="24"/>
          <w:szCs w:val="24"/>
        </w:rPr>
        <w:t>.</w:t>
      </w:r>
      <w:bookmarkStart w:id="0" w:name="_GoBack"/>
      <w:bookmarkEnd w:id="0"/>
    </w:p>
    <w:p w:rsidR="00000000" w:rsidRDefault="00A84AF1" w:rsidP="00251084">
      <w:pPr>
        <w:spacing w:after="0"/>
        <w:rPr>
          <w:rFonts w:ascii="Times New Roman" w:hAnsi="Times New Roman" w:cs="Times New Roman"/>
          <w:iCs/>
          <w:sz w:val="24"/>
          <w:szCs w:val="24"/>
        </w:rPr>
      </w:pPr>
      <w:r>
        <w:rPr>
          <w:rFonts w:ascii="Times New Roman" w:hAnsi="Times New Roman" w:cs="Times New Roman"/>
          <w:sz w:val="24"/>
          <w:szCs w:val="24"/>
        </w:rPr>
        <w:t>Vlivem konkurence v dodávkách LNG do</w:t>
      </w:r>
      <w:r w:rsidR="003415EB">
        <w:rPr>
          <w:rFonts w:ascii="Times New Roman" w:hAnsi="Times New Roman" w:cs="Times New Roman"/>
          <w:sz w:val="24"/>
          <w:szCs w:val="24"/>
        </w:rPr>
        <w:t xml:space="preserve"> Evropy a naplněnosti zásobníků postupně klesá cena plynu</w:t>
      </w:r>
      <w:r>
        <w:rPr>
          <w:rFonts w:ascii="Times New Roman" w:hAnsi="Times New Roman" w:cs="Times New Roman"/>
          <w:sz w:val="24"/>
          <w:szCs w:val="24"/>
        </w:rPr>
        <w:t xml:space="preserve">. </w:t>
      </w:r>
      <w:r w:rsidR="003415EB">
        <w:rPr>
          <w:rFonts w:ascii="Times New Roman" w:hAnsi="Times New Roman" w:cs="Times New Roman"/>
          <w:sz w:val="24"/>
          <w:szCs w:val="24"/>
        </w:rPr>
        <w:t xml:space="preserve">Podobný vývoj je u spotových cen elektřiny, zatímco u dlouhodobých kontraktů přetrvávají vyšší ceny s nejednoznačným trendem dalšího vývoje. </w:t>
      </w:r>
      <w:r w:rsidR="005F75C0">
        <w:rPr>
          <w:rFonts w:ascii="Times New Roman" w:hAnsi="Times New Roman" w:cs="Times New Roman"/>
          <w:sz w:val="24"/>
          <w:szCs w:val="24"/>
        </w:rPr>
        <w:t>Velcí spotřebitelé preferují</w:t>
      </w:r>
      <w:r w:rsidR="005F75C0" w:rsidRPr="005F75C0">
        <w:rPr>
          <w:rFonts w:ascii="Times New Roman" w:hAnsi="Times New Roman" w:cs="Times New Roman"/>
          <w:sz w:val="24"/>
          <w:szCs w:val="24"/>
        </w:rPr>
        <w:t xml:space="preserve"> spot</w:t>
      </w:r>
      <w:r w:rsidR="005F75C0">
        <w:rPr>
          <w:rFonts w:ascii="Times New Roman" w:hAnsi="Times New Roman" w:cs="Times New Roman"/>
          <w:sz w:val="24"/>
          <w:szCs w:val="24"/>
        </w:rPr>
        <w:t>ové nákupy a krátkodobé forwardy, zájem o dlouhodobé PPA kontrakty je zatím nulo</w:t>
      </w:r>
      <w:r w:rsidR="00F353A7">
        <w:rPr>
          <w:rFonts w:ascii="Times New Roman" w:hAnsi="Times New Roman" w:cs="Times New Roman"/>
          <w:sz w:val="24"/>
          <w:szCs w:val="24"/>
        </w:rPr>
        <w:t>v</w:t>
      </w:r>
      <w:r w:rsidR="005F75C0">
        <w:rPr>
          <w:rFonts w:ascii="Times New Roman" w:hAnsi="Times New Roman" w:cs="Times New Roman"/>
          <w:sz w:val="24"/>
          <w:szCs w:val="24"/>
        </w:rPr>
        <w:t xml:space="preserve">ý. </w:t>
      </w:r>
      <w:r w:rsidR="003415EB">
        <w:rPr>
          <w:rFonts w:ascii="Times New Roman" w:hAnsi="Times New Roman" w:cs="Times New Roman"/>
          <w:sz w:val="24"/>
          <w:szCs w:val="24"/>
        </w:rPr>
        <w:t xml:space="preserve">EU masivně posiluje infrastrukturu zásobování ZP a intenzivně investuje do OZE. </w:t>
      </w:r>
      <w:r w:rsidR="00251084">
        <w:rPr>
          <w:rFonts w:ascii="Times New Roman" w:hAnsi="Times New Roman" w:cs="Times New Roman"/>
          <w:sz w:val="24"/>
          <w:szCs w:val="24"/>
        </w:rPr>
        <w:t xml:space="preserve">Důsledkem bude </w:t>
      </w:r>
      <w:r w:rsidR="00283C68" w:rsidRPr="00251084">
        <w:rPr>
          <w:rFonts w:ascii="Times New Roman" w:hAnsi="Times New Roman" w:cs="Times New Roman"/>
          <w:sz w:val="24"/>
          <w:szCs w:val="24"/>
        </w:rPr>
        <w:t>uklidnění cen u dlouhodobých kontraktů</w:t>
      </w:r>
      <w:r w:rsidR="00251084">
        <w:rPr>
          <w:rFonts w:ascii="Times New Roman" w:hAnsi="Times New Roman" w:cs="Times New Roman"/>
          <w:sz w:val="24"/>
          <w:szCs w:val="24"/>
        </w:rPr>
        <w:t xml:space="preserve"> a v</w:t>
      </w:r>
      <w:r w:rsidR="00283C68" w:rsidRPr="00251084">
        <w:rPr>
          <w:rFonts w:ascii="Times New Roman" w:hAnsi="Times New Roman" w:cs="Times New Roman"/>
          <w:sz w:val="24"/>
          <w:szCs w:val="24"/>
        </w:rPr>
        <w:t>ysoká volatilita spotových cen</w:t>
      </w:r>
      <w:r w:rsidR="00251084">
        <w:rPr>
          <w:rFonts w:ascii="Times New Roman" w:hAnsi="Times New Roman" w:cs="Times New Roman"/>
          <w:sz w:val="24"/>
          <w:szCs w:val="24"/>
        </w:rPr>
        <w:t xml:space="preserve">. </w:t>
      </w:r>
      <w:r w:rsidR="005F75C0">
        <w:rPr>
          <w:rFonts w:ascii="Times New Roman" w:hAnsi="Times New Roman" w:cs="Times New Roman"/>
          <w:iCs/>
          <w:sz w:val="24"/>
          <w:szCs w:val="24"/>
          <w:lang w:val="x-none"/>
        </w:rPr>
        <w:t xml:space="preserve">Trh se stává komplexnější, </w:t>
      </w:r>
      <w:r w:rsidR="00251084" w:rsidRPr="00251084">
        <w:rPr>
          <w:rFonts w:ascii="Times New Roman" w:hAnsi="Times New Roman" w:cs="Times New Roman"/>
          <w:iCs/>
          <w:sz w:val="24"/>
          <w:szCs w:val="24"/>
          <w:lang w:val="x-none"/>
        </w:rPr>
        <w:t xml:space="preserve">je důležité řešit </w:t>
      </w:r>
      <w:r w:rsidR="00251084">
        <w:rPr>
          <w:rFonts w:ascii="Times New Roman" w:hAnsi="Times New Roman" w:cs="Times New Roman"/>
          <w:iCs/>
          <w:sz w:val="24"/>
          <w:szCs w:val="24"/>
          <w:lang w:val="x-none"/>
        </w:rPr>
        <w:t xml:space="preserve">nejen optimální zajištění cen, </w:t>
      </w:r>
      <w:r w:rsidR="00251084" w:rsidRPr="00251084">
        <w:rPr>
          <w:rFonts w:ascii="Times New Roman" w:hAnsi="Times New Roman" w:cs="Times New Roman"/>
          <w:iCs/>
          <w:sz w:val="24"/>
          <w:szCs w:val="24"/>
          <w:lang w:val="x-none"/>
        </w:rPr>
        <w:t>ale též průběh a flexibilitu spotřeby.</w:t>
      </w:r>
      <w:r w:rsidR="00251084">
        <w:rPr>
          <w:rFonts w:ascii="Times New Roman" w:hAnsi="Times New Roman" w:cs="Times New Roman"/>
          <w:iCs/>
          <w:sz w:val="24"/>
          <w:szCs w:val="24"/>
        </w:rPr>
        <w:t xml:space="preserve"> </w:t>
      </w:r>
    </w:p>
    <w:p w:rsidR="009B1159" w:rsidRDefault="005F75C0" w:rsidP="00251084">
      <w:pPr>
        <w:spacing w:after="0"/>
        <w:rPr>
          <w:rFonts w:ascii="Times New Roman" w:hAnsi="Times New Roman" w:cs="Times New Roman"/>
          <w:sz w:val="24"/>
          <w:szCs w:val="24"/>
        </w:rPr>
      </w:pPr>
      <w:r>
        <w:rPr>
          <w:rFonts w:ascii="Times New Roman" w:hAnsi="Times New Roman" w:cs="Times New Roman"/>
          <w:iCs/>
          <w:sz w:val="24"/>
          <w:szCs w:val="24"/>
        </w:rPr>
        <w:t>V diskuzi zdůvodnili zástupci podniků nezájem o PPA kontrakty nevhodnou nabídkou ze strany investorů do OZE, kteří</w:t>
      </w:r>
      <w:r w:rsidR="009B1159">
        <w:rPr>
          <w:rFonts w:ascii="Times New Roman" w:hAnsi="Times New Roman" w:cs="Times New Roman"/>
          <w:iCs/>
          <w:sz w:val="24"/>
          <w:szCs w:val="24"/>
        </w:rPr>
        <w:t xml:space="preserve"> se snaží přenášet celé podnikatelské riziko na odběratele.</w:t>
      </w:r>
      <w:r w:rsidR="009B1159" w:rsidRPr="009B1159">
        <w:rPr>
          <w:rFonts w:ascii="Times New Roman" w:hAnsi="Times New Roman" w:cs="Times New Roman"/>
          <w:sz w:val="24"/>
          <w:szCs w:val="24"/>
        </w:rPr>
        <w:t xml:space="preserve"> </w:t>
      </w:r>
    </w:p>
    <w:p w:rsidR="009B1159" w:rsidRDefault="009B1159" w:rsidP="00251084">
      <w:pPr>
        <w:spacing w:after="0"/>
        <w:rPr>
          <w:rFonts w:ascii="Times New Roman" w:hAnsi="Times New Roman" w:cs="Times New Roman"/>
          <w:sz w:val="24"/>
          <w:szCs w:val="24"/>
        </w:rPr>
      </w:pPr>
    </w:p>
    <w:p w:rsidR="009B1159" w:rsidRPr="009B1159" w:rsidRDefault="009B1159" w:rsidP="00251084">
      <w:pPr>
        <w:spacing w:after="0"/>
        <w:rPr>
          <w:rFonts w:ascii="Times New Roman" w:hAnsi="Times New Roman" w:cs="Times New Roman"/>
          <w:b/>
          <w:iCs/>
          <w:sz w:val="24"/>
          <w:szCs w:val="24"/>
        </w:rPr>
      </w:pPr>
      <w:r w:rsidRPr="009B1159">
        <w:rPr>
          <w:rFonts w:ascii="Times New Roman" w:hAnsi="Times New Roman" w:cs="Times New Roman"/>
          <w:b/>
          <w:iCs/>
          <w:sz w:val="24"/>
          <w:szCs w:val="24"/>
        </w:rPr>
        <w:t>Dopady budoucího uspořádání trhu s energií na regulovanou složku její ceny</w:t>
      </w:r>
    </w:p>
    <w:p w:rsidR="009B1159" w:rsidRDefault="009B1159" w:rsidP="00251084">
      <w:pPr>
        <w:spacing w:after="0"/>
        <w:rPr>
          <w:rFonts w:ascii="Times New Roman" w:hAnsi="Times New Roman" w:cs="Times New Roman"/>
          <w:iCs/>
          <w:sz w:val="24"/>
          <w:szCs w:val="24"/>
        </w:rPr>
      </w:pPr>
    </w:p>
    <w:p w:rsidR="00107AB3" w:rsidRDefault="009B1159" w:rsidP="00251084">
      <w:pPr>
        <w:spacing w:after="0"/>
        <w:rPr>
          <w:rFonts w:ascii="Times New Roman" w:hAnsi="Times New Roman" w:cs="Times New Roman"/>
          <w:iCs/>
          <w:sz w:val="24"/>
          <w:szCs w:val="24"/>
        </w:rPr>
      </w:pPr>
      <w:r>
        <w:rPr>
          <w:rFonts w:ascii="Times New Roman" w:hAnsi="Times New Roman" w:cs="Times New Roman"/>
          <w:iCs/>
          <w:sz w:val="24"/>
          <w:szCs w:val="24"/>
        </w:rPr>
        <w:t xml:space="preserve">Problémy a vývoj budoucích nákladů společnosti ČEZ Distribuce prezentoval Ing. Linhart. </w:t>
      </w:r>
      <w:r w:rsidR="00E13854">
        <w:rPr>
          <w:rFonts w:ascii="Times New Roman" w:hAnsi="Times New Roman" w:cs="Times New Roman"/>
          <w:iCs/>
          <w:sz w:val="24"/>
          <w:szCs w:val="24"/>
        </w:rPr>
        <w:t>Distribuční společnosti aktuálně řeší nárůst žádostí o připojení FV zdrojů, v roce 2022 převzala společnost ČEZ Di téměř 70 tis. žádostí o připojení, v roce 2023 očekává přes 100 tis. žádostí, z toho se z více než</w:t>
      </w:r>
      <w:r w:rsidR="004E25FF">
        <w:rPr>
          <w:rFonts w:ascii="Times New Roman" w:hAnsi="Times New Roman" w:cs="Times New Roman"/>
          <w:iCs/>
          <w:sz w:val="24"/>
          <w:szCs w:val="24"/>
        </w:rPr>
        <w:t xml:space="preserve"> 7</w:t>
      </w:r>
      <w:r w:rsidR="00E13854">
        <w:rPr>
          <w:rFonts w:ascii="Times New Roman" w:hAnsi="Times New Roman" w:cs="Times New Roman"/>
          <w:iCs/>
          <w:sz w:val="24"/>
          <w:szCs w:val="24"/>
        </w:rPr>
        <w:t xml:space="preserve">0% jedná o mikro zdroje do 10kW. </w:t>
      </w:r>
      <w:r w:rsidR="00D55E3A" w:rsidRPr="00D55E3A">
        <w:rPr>
          <w:rFonts w:ascii="Times New Roman" w:hAnsi="Times New Roman" w:cs="Times New Roman"/>
          <w:iCs/>
          <w:sz w:val="24"/>
          <w:szCs w:val="24"/>
        </w:rPr>
        <w:t>Rezervovaný výkon na licencovaném území ČEZ</w:t>
      </w:r>
      <w:r w:rsidR="00D55E3A">
        <w:rPr>
          <w:rFonts w:ascii="Times New Roman" w:hAnsi="Times New Roman" w:cs="Times New Roman"/>
          <w:iCs/>
          <w:sz w:val="24"/>
          <w:szCs w:val="24"/>
        </w:rPr>
        <w:t xml:space="preserve"> Di</w:t>
      </w:r>
      <w:r w:rsidR="00D55E3A" w:rsidRPr="00D55E3A">
        <w:rPr>
          <w:rFonts w:ascii="Times New Roman" w:hAnsi="Times New Roman" w:cs="Times New Roman"/>
          <w:iCs/>
          <w:sz w:val="24"/>
          <w:szCs w:val="24"/>
        </w:rPr>
        <w:t xml:space="preserve"> </w:t>
      </w:r>
      <w:r w:rsidR="00D55E3A">
        <w:rPr>
          <w:rFonts w:ascii="Times New Roman" w:hAnsi="Times New Roman" w:cs="Times New Roman"/>
          <w:iCs/>
          <w:sz w:val="24"/>
          <w:szCs w:val="24"/>
        </w:rPr>
        <w:t xml:space="preserve">je </w:t>
      </w:r>
      <w:r w:rsidR="00D55E3A" w:rsidRPr="00D55E3A">
        <w:rPr>
          <w:rFonts w:ascii="Times New Roman" w:hAnsi="Times New Roman" w:cs="Times New Roman"/>
          <w:iCs/>
          <w:sz w:val="24"/>
          <w:szCs w:val="24"/>
        </w:rPr>
        <w:t xml:space="preserve">13,7 GW, zbývající volný bilanční limit elektrizační soustavy ČR </w:t>
      </w:r>
      <w:r w:rsidR="00D55E3A">
        <w:rPr>
          <w:rFonts w:ascii="Times New Roman" w:hAnsi="Times New Roman" w:cs="Times New Roman"/>
          <w:iCs/>
          <w:sz w:val="24"/>
          <w:szCs w:val="24"/>
        </w:rPr>
        <w:t xml:space="preserve">je </w:t>
      </w:r>
      <w:r w:rsidR="00D55E3A" w:rsidRPr="00D55E3A">
        <w:rPr>
          <w:rFonts w:ascii="Times New Roman" w:hAnsi="Times New Roman" w:cs="Times New Roman"/>
          <w:iCs/>
          <w:sz w:val="24"/>
          <w:szCs w:val="24"/>
        </w:rPr>
        <w:t>28 MW</w:t>
      </w:r>
      <w:r w:rsidR="00D55E3A">
        <w:rPr>
          <w:rFonts w:ascii="Times New Roman" w:hAnsi="Times New Roman" w:cs="Times New Roman"/>
          <w:iCs/>
          <w:sz w:val="24"/>
          <w:szCs w:val="24"/>
        </w:rPr>
        <w:t xml:space="preserve">. Na stejnou roční produkci elektřiny potřebují FV zdroje několikanásobný rezervovaný výkon než fosilní či jaderné elektrárny. V současné době roste počet oblastí, kde již není volná kapacita připojení nových výroben. K řešení situace plánuje společnost investice vyvolané potřebou připojení OZE ve výši 20 mld. Kč s dopadem do výše regulovaných poplatků. </w:t>
      </w:r>
    </w:p>
    <w:p w:rsidR="008C1CE9" w:rsidRDefault="00107AB3" w:rsidP="00251084">
      <w:pPr>
        <w:spacing w:after="0"/>
        <w:rPr>
          <w:rFonts w:ascii="Times New Roman" w:hAnsi="Times New Roman" w:cs="Times New Roman"/>
          <w:iCs/>
          <w:sz w:val="24"/>
          <w:szCs w:val="24"/>
        </w:rPr>
      </w:pPr>
      <w:r>
        <w:rPr>
          <w:rFonts w:ascii="Times New Roman" w:hAnsi="Times New Roman" w:cs="Times New Roman"/>
          <w:iCs/>
          <w:sz w:val="24"/>
          <w:szCs w:val="24"/>
        </w:rPr>
        <w:t>Ing. Krčová a Ing. Svatek z ERÚ prezentovali změnu</w:t>
      </w:r>
      <w:r w:rsidRPr="00107AB3">
        <w:rPr>
          <w:rFonts w:ascii="Times New Roman" w:hAnsi="Times New Roman" w:cs="Times New Roman"/>
          <w:iCs/>
          <w:sz w:val="24"/>
          <w:szCs w:val="24"/>
        </w:rPr>
        <w:t xml:space="preserve"> tarifikace</w:t>
      </w:r>
      <w:r>
        <w:rPr>
          <w:rFonts w:ascii="Times New Roman" w:hAnsi="Times New Roman" w:cs="Times New Roman"/>
          <w:iCs/>
          <w:sz w:val="24"/>
          <w:szCs w:val="24"/>
        </w:rPr>
        <w:t xml:space="preserve"> VN a VVN</w:t>
      </w:r>
      <w:r w:rsidRPr="00107AB3">
        <w:rPr>
          <w:rFonts w:ascii="Times New Roman" w:hAnsi="Times New Roman" w:cs="Times New Roman"/>
          <w:iCs/>
          <w:sz w:val="24"/>
          <w:szCs w:val="24"/>
        </w:rPr>
        <w:t xml:space="preserve"> od roku 2024 </w:t>
      </w:r>
      <w:r>
        <w:rPr>
          <w:rFonts w:ascii="Times New Roman" w:hAnsi="Times New Roman" w:cs="Times New Roman"/>
          <w:iCs/>
          <w:sz w:val="24"/>
          <w:szCs w:val="24"/>
        </w:rPr>
        <w:t xml:space="preserve">a </w:t>
      </w:r>
      <w:r w:rsidRPr="00107AB3">
        <w:rPr>
          <w:rFonts w:ascii="Times New Roman" w:hAnsi="Times New Roman" w:cs="Times New Roman"/>
          <w:iCs/>
          <w:sz w:val="24"/>
          <w:szCs w:val="24"/>
        </w:rPr>
        <w:t>dopady změn tarifního systému na průmyslové spotřebitele</w:t>
      </w:r>
      <w:r>
        <w:rPr>
          <w:rFonts w:ascii="Times New Roman" w:hAnsi="Times New Roman" w:cs="Times New Roman"/>
          <w:iCs/>
          <w:sz w:val="24"/>
          <w:szCs w:val="24"/>
        </w:rPr>
        <w:t>. Cílem je snížit rozsah nevyužívaného rezervovaného příkonu</w:t>
      </w:r>
      <w:r w:rsidR="00FE23F7">
        <w:rPr>
          <w:rFonts w:ascii="Times New Roman" w:hAnsi="Times New Roman" w:cs="Times New Roman"/>
          <w:iCs/>
          <w:sz w:val="24"/>
          <w:szCs w:val="24"/>
        </w:rPr>
        <w:t xml:space="preserve"> (RP)</w:t>
      </w:r>
      <w:r>
        <w:rPr>
          <w:rFonts w:ascii="Times New Roman" w:hAnsi="Times New Roman" w:cs="Times New Roman"/>
          <w:iCs/>
          <w:sz w:val="24"/>
          <w:szCs w:val="24"/>
        </w:rPr>
        <w:t xml:space="preserve"> nahrazením alokace nákladů distribuce z rezervované kapacity na </w:t>
      </w:r>
      <w:r w:rsidR="00902390">
        <w:rPr>
          <w:rFonts w:ascii="Times New Roman" w:hAnsi="Times New Roman" w:cs="Times New Roman"/>
          <w:iCs/>
          <w:sz w:val="24"/>
          <w:szCs w:val="24"/>
        </w:rPr>
        <w:t>kombinace</w:t>
      </w:r>
      <w:r w:rsidR="00113B61">
        <w:rPr>
          <w:rFonts w:ascii="Times New Roman" w:hAnsi="Times New Roman" w:cs="Times New Roman"/>
          <w:iCs/>
          <w:sz w:val="24"/>
          <w:szCs w:val="24"/>
        </w:rPr>
        <w:t xml:space="preserve"> rezervovaného příkonu a naměřeného maxima. K</w:t>
      </w:r>
      <w:r w:rsidR="00113B61" w:rsidRPr="00113B61">
        <w:rPr>
          <w:rFonts w:ascii="Times New Roman" w:hAnsi="Times New Roman" w:cs="Times New Roman"/>
          <w:iCs/>
          <w:sz w:val="24"/>
          <w:szCs w:val="24"/>
        </w:rPr>
        <w:t>onkrétní ceny vycházejí ze zvolené</w:t>
      </w:r>
      <w:r w:rsidR="00113B61">
        <w:rPr>
          <w:rFonts w:ascii="Times New Roman" w:hAnsi="Times New Roman" w:cs="Times New Roman"/>
          <w:iCs/>
          <w:sz w:val="24"/>
          <w:szCs w:val="24"/>
        </w:rPr>
        <w:t xml:space="preserve"> </w:t>
      </w:r>
      <w:r w:rsidR="00113B61" w:rsidRPr="00113B61">
        <w:rPr>
          <w:rFonts w:ascii="Times New Roman" w:hAnsi="Times New Roman" w:cs="Times New Roman"/>
          <w:iCs/>
          <w:sz w:val="24"/>
          <w:szCs w:val="24"/>
        </w:rPr>
        <w:t>úrovně alokace nákladů, aktuálně je navrhována od roku 2024 dočasná alokace nákladů 30 % do ceny za RP a od roku 2026 již konečná alokace nákladů 60 % do ceny za RP.</w:t>
      </w:r>
      <w:r w:rsidR="008C1CE9">
        <w:rPr>
          <w:rFonts w:ascii="Times New Roman" w:hAnsi="Times New Roman" w:cs="Times New Roman"/>
          <w:iCs/>
          <w:sz w:val="24"/>
          <w:szCs w:val="24"/>
        </w:rPr>
        <w:t xml:space="preserve"> </w:t>
      </w:r>
      <w:r w:rsidR="00113B61">
        <w:rPr>
          <w:rFonts w:ascii="Times New Roman" w:hAnsi="Times New Roman" w:cs="Times New Roman"/>
          <w:iCs/>
          <w:sz w:val="24"/>
          <w:szCs w:val="24"/>
        </w:rPr>
        <w:t xml:space="preserve">Vývoj ostatních regulovaných poplatků a termín úpravy </w:t>
      </w:r>
      <w:r w:rsidR="008C1CE9">
        <w:rPr>
          <w:rFonts w:ascii="Times New Roman" w:hAnsi="Times New Roman" w:cs="Times New Roman"/>
          <w:iCs/>
          <w:sz w:val="24"/>
          <w:szCs w:val="24"/>
        </w:rPr>
        <w:t>tarifu pro NN nebyl prezentován.</w:t>
      </w:r>
    </w:p>
    <w:p w:rsidR="00FE23F7" w:rsidRDefault="008C1CE9" w:rsidP="00251084">
      <w:pPr>
        <w:spacing w:after="0"/>
        <w:rPr>
          <w:rFonts w:ascii="Times New Roman" w:hAnsi="Times New Roman" w:cs="Times New Roman"/>
          <w:iCs/>
          <w:sz w:val="24"/>
          <w:szCs w:val="24"/>
        </w:rPr>
      </w:pPr>
      <w:r>
        <w:rPr>
          <w:rFonts w:ascii="Times New Roman" w:hAnsi="Times New Roman" w:cs="Times New Roman"/>
          <w:iCs/>
          <w:sz w:val="24"/>
          <w:szCs w:val="24"/>
        </w:rPr>
        <w:lastRenderedPageBreak/>
        <w:t xml:space="preserve">V diskuzi potvrdil Ing. Linhart riziko odmítnutí zvýšit rezervovaný příkon podniku pro rozvojové záměry, </w:t>
      </w:r>
      <w:r w:rsidR="00746C78">
        <w:rPr>
          <w:rFonts w:ascii="Times New Roman" w:hAnsi="Times New Roman" w:cs="Times New Roman"/>
          <w:iCs/>
          <w:sz w:val="24"/>
          <w:szCs w:val="24"/>
        </w:rPr>
        <w:t>i když si</w:t>
      </w:r>
      <w:r>
        <w:rPr>
          <w:rFonts w:ascii="Times New Roman" w:hAnsi="Times New Roman" w:cs="Times New Roman"/>
          <w:iCs/>
          <w:sz w:val="24"/>
          <w:szCs w:val="24"/>
        </w:rPr>
        <w:t xml:space="preserve"> jej dříve kvůli regulovaným poplatkům snížil. Zástupci průmyslu upozornili na nevýhodu</w:t>
      </w:r>
      <w:r w:rsidR="00902390">
        <w:rPr>
          <w:rFonts w:ascii="Times New Roman" w:hAnsi="Times New Roman" w:cs="Times New Roman"/>
          <w:iCs/>
          <w:sz w:val="24"/>
          <w:szCs w:val="24"/>
        </w:rPr>
        <w:t xml:space="preserve"> nové tarifikace pro</w:t>
      </w:r>
      <w:r w:rsidR="00FE23F7">
        <w:rPr>
          <w:rFonts w:ascii="Times New Roman" w:hAnsi="Times New Roman" w:cs="Times New Roman"/>
          <w:iCs/>
          <w:sz w:val="24"/>
          <w:szCs w:val="24"/>
        </w:rPr>
        <w:t xml:space="preserve"> podniky s velkým podílem vlastní výroby, pro firmy, které drží rezervu v RP kvůli rozvojovým a dekarbonizačním projektům a pro elektrickou trakci dopravních podniků. Kvůli potřebě </w:t>
      </w:r>
      <w:r w:rsidR="004E25FF">
        <w:rPr>
          <w:rFonts w:ascii="Times New Roman" w:hAnsi="Times New Roman" w:cs="Times New Roman"/>
          <w:iCs/>
          <w:sz w:val="24"/>
          <w:szCs w:val="24"/>
        </w:rPr>
        <w:t xml:space="preserve">jištění proti výpadku vlastní výroby a zachování rezervy pro rozvojové záměry </w:t>
      </w:r>
      <w:r w:rsidR="00FE23F7">
        <w:rPr>
          <w:rFonts w:ascii="Times New Roman" w:hAnsi="Times New Roman" w:cs="Times New Roman"/>
          <w:iCs/>
          <w:sz w:val="24"/>
          <w:szCs w:val="24"/>
        </w:rPr>
        <w:t xml:space="preserve">nelze očekávat </w:t>
      </w:r>
      <w:r w:rsidR="004E25FF">
        <w:rPr>
          <w:rFonts w:ascii="Times New Roman" w:hAnsi="Times New Roman" w:cs="Times New Roman"/>
          <w:iCs/>
          <w:sz w:val="24"/>
          <w:szCs w:val="24"/>
        </w:rPr>
        <w:t>snížení celkového RP</w:t>
      </w:r>
      <w:r w:rsidR="00FE23F7">
        <w:rPr>
          <w:rFonts w:ascii="Times New Roman" w:hAnsi="Times New Roman" w:cs="Times New Roman"/>
          <w:iCs/>
          <w:sz w:val="24"/>
          <w:szCs w:val="24"/>
        </w:rPr>
        <w:t xml:space="preserve"> v</w:t>
      </w:r>
      <w:r w:rsidR="004E25FF">
        <w:rPr>
          <w:rFonts w:ascii="Times New Roman" w:hAnsi="Times New Roman" w:cs="Times New Roman"/>
          <w:iCs/>
          <w:sz w:val="24"/>
          <w:szCs w:val="24"/>
        </w:rPr>
        <w:t> </w:t>
      </w:r>
      <w:r w:rsidR="00FE23F7">
        <w:rPr>
          <w:rFonts w:ascii="Times New Roman" w:hAnsi="Times New Roman" w:cs="Times New Roman"/>
          <w:iCs/>
          <w:sz w:val="24"/>
          <w:szCs w:val="24"/>
        </w:rPr>
        <w:t>průmyslu</w:t>
      </w:r>
      <w:r w:rsidR="004E25FF">
        <w:rPr>
          <w:rFonts w:ascii="Times New Roman" w:hAnsi="Times New Roman" w:cs="Times New Roman"/>
          <w:iCs/>
          <w:sz w:val="24"/>
          <w:szCs w:val="24"/>
        </w:rPr>
        <w:t xml:space="preserve"> a dopravě.</w:t>
      </w:r>
    </w:p>
    <w:p w:rsidR="00FE23F7" w:rsidRDefault="00FE23F7" w:rsidP="00251084">
      <w:pPr>
        <w:spacing w:after="0"/>
        <w:rPr>
          <w:rFonts w:ascii="Times New Roman" w:hAnsi="Times New Roman" w:cs="Times New Roman"/>
          <w:iCs/>
          <w:sz w:val="24"/>
          <w:szCs w:val="24"/>
        </w:rPr>
      </w:pPr>
    </w:p>
    <w:p w:rsidR="00ED70E8" w:rsidRDefault="00FE23F7" w:rsidP="00251084">
      <w:pPr>
        <w:spacing w:after="0"/>
        <w:rPr>
          <w:rFonts w:ascii="Times New Roman" w:hAnsi="Times New Roman" w:cs="Times New Roman"/>
          <w:b/>
          <w:iCs/>
          <w:sz w:val="24"/>
          <w:szCs w:val="24"/>
        </w:rPr>
      </w:pPr>
      <w:r w:rsidRPr="00ED70E8">
        <w:rPr>
          <w:rFonts w:ascii="Times New Roman" w:hAnsi="Times New Roman" w:cs="Times New Roman"/>
          <w:b/>
          <w:iCs/>
          <w:sz w:val="24"/>
          <w:szCs w:val="24"/>
        </w:rPr>
        <w:t>Závěry:</w:t>
      </w:r>
    </w:p>
    <w:p w:rsidR="00ED70E8" w:rsidRDefault="00ED70E8" w:rsidP="00251084">
      <w:pPr>
        <w:spacing w:after="0"/>
        <w:rPr>
          <w:rFonts w:ascii="Times New Roman" w:hAnsi="Times New Roman" w:cs="Times New Roman"/>
          <w:b/>
          <w:iCs/>
          <w:sz w:val="24"/>
          <w:szCs w:val="24"/>
        </w:rPr>
      </w:pPr>
    </w:p>
    <w:p w:rsidR="0027110C" w:rsidRDefault="00ED70E8" w:rsidP="00E57689">
      <w:pPr>
        <w:spacing w:after="0"/>
        <w:rPr>
          <w:rFonts w:ascii="Times New Roman" w:hAnsi="Times New Roman" w:cs="Times New Roman"/>
          <w:iCs/>
          <w:sz w:val="24"/>
          <w:szCs w:val="24"/>
        </w:rPr>
      </w:pPr>
      <w:r w:rsidRPr="00ED70E8">
        <w:rPr>
          <w:rFonts w:ascii="Times New Roman" w:hAnsi="Times New Roman" w:cs="Times New Roman"/>
          <w:iCs/>
          <w:sz w:val="24"/>
          <w:szCs w:val="24"/>
        </w:rPr>
        <w:t>Prezentace</w:t>
      </w:r>
      <w:r>
        <w:rPr>
          <w:rFonts w:ascii="Times New Roman" w:hAnsi="Times New Roman" w:cs="Times New Roman"/>
          <w:iCs/>
          <w:sz w:val="24"/>
          <w:szCs w:val="24"/>
        </w:rPr>
        <w:t xml:space="preserve"> a následné diskuze potvrdily obavy ener</w:t>
      </w:r>
      <w:r w:rsidR="0027110C">
        <w:rPr>
          <w:rFonts w:ascii="Times New Roman" w:hAnsi="Times New Roman" w:cs="Times New Roman"/>
          <w:iCs/>
          <w:sz w:val="24"/>
          <w:szCs w:val="24"/>
        </w:rPr>
        <w:t>geticky intenzivního průmyslu z</w:t>
      </w:r>
      <w:r w:rsidR="00EA42A0">
        <w:rPr>
          <w:rFonts w:ascii="Times New Roman" w:hAnsi="Times New Roman" w:cs="Times New Roman"/>
          <w:iCs/>
          <w:sz w:val="24"/>
          <w:szCs w:val="24"/>
        </w:rPr>
        <w:t xml:space="preserve"> rizika vzniku </w:t>
      </w:r>
      <w:r>
        <w:rPr>
          <w:rFonts w:ascii="Times New Roman" w:hAnsi="Times New Roman" w:cs="Times New Roman"/>
          <w:iCs/>
          <w:sz w:val="24"/>
          <w:szCs w:val="24"/>
        </w:rPr>
        <w:t xml:space="preserve">konkurenční nevýhody v cenách a dodávkách energií v České republice. Nízké časové využití fotovoltaických výroben elektřiny si vynucuje doplnění o nákladově dražší plynové zdroje. </w:t>
      </w:r>
      <w:r w:rsidR="0027110C">
        <w:rPr>
          <w:rFonts w:ascii="Times New Roman" w:hAnsi="Times New Roman" w:cs="Times New Roman"/>
          <w:iCs/>
          <w:sz w:val="24"/>
          <w:szCs w:val="24"/>
        </w:rPr>
        <w:t xml:space="preserve">Jejich rentabilitu bude nutno podpořit nějakou formou kapacitních plateb. </w:t>
      </w:r>
      <w:r>
        <w:rPr>
          <w:rFonts w:ascii="Times New Roman" w:hAnsi="Times New Roman" w:cs="Times New Roman"/>
          <w:iCs/>
          <w:sz w:val="24"/>
          <w:szCs w:val="24"/>
        </w:rPr>
        <w:t>Náhrada výroby elektřiny z uhlí jadernou energií má zpoždění a import elektřiny je v potřebném zimním období ve větším rozsahu nerealizovateln</w:t>
      </w:r>
      <w:r w:rsidR="0027110C">
        <w:rPr>
          <w:rFonts w:ascii="Times New Roman" w:hAnsi="Times New Roman" w:cs="Times New Roman"/>
          <w:iCs/>
          <w:sz w:val="24"/>
          <w:szCs w:val="24"/>
        </w:rPr>
        <w:t xml:space="preserve">ý, což vyvolává riziko regulace </w:t>
      </w:r>
      <w:r w:rsidR="00746C78">
        <w:rPr>
          <w:rFonts w:ascii="Times New Roman" w:hAnsi="Times New Roman" w:cs="Times New Roman"/>
          <w:iCs/>
          <w:sz w:val="24"/>
          <w:szCs w:val="24"/>
        </w:rPr>
        <w:t>odběru</w:t>
      </w:r>
      <w:r w:rsidR="0027110C">
        <w:rPr>
          <w:rFonts w:ascii="Times New Roman" w:hAnsi="Times New Roman" w:cs="Times New Roman"/>
          <w:iCs/>
          <w:sz w:val="24"/>
          <w:szCs w:val="24"/>
        </w:rPr>
        <w:t xml:space="preserve"> elektřiny.</w:t>
      </w:r>
    </w:p>
    <w:p w:rsidR="00E57689" w:rsidRDefault="0027110C" w:rsidP="00E57689">
      <w:pPr>
        <w:spacing w:after="0"/>
        <w:rPr>
          <w:rFonts w:ascii="Times New Roman" w:hAnsi="Times New Roman" w:cs="Times New Roman"/>
          <w:iCs/>
          <w:sz w:val="24"/>
          <w:szCs w:val="24"/>
        </w:rPr>
      </w:pPr>
      <w:r>
        <w:rPr>
          <w:rFonts w:ascii="Times New Roman" w:hAnsi="Times New Roman" w:cs="Times New Roman"/>
          <w:iCs/>
          <w:sz w:val="24"/>
          <w:szCs w:val="24"/>
        </w:rPr>
        <w:t xml:space="preserve">Rozvoj OZE </w:t>
      </w:r>
      <w:r w:rsidR="00E05E04">
        <w:rPr>
          <w:rFonts w:ascii="Times New Roman" w:hAnsi="Times New Roman" w:cs="Times New Roman"/>
          <w:iCs/>
          <w:sz w:val="24"/>
          <w:szCs w:val="24"/>
        </w:rPr>
        <w:t xml:space="preserve">na NN snižuje počet plátců </w:t>
      </w:r>
      <w:r w:rsidR="00FC432E">
        <w:rPr>
          <w:rFonts w:ascii="Times New Roman" w:hAnsi="Times New Roman" w:cs="Times New Roman"/>
          <w:iCs/>
          <w:sz w:val="24"/>
          <w:szCs w:val="24"/>
        </w:rPr>
        <w:t xml:space="preserve">rychle rostoucích </w:t>
      </w:r>
      <w:r w:rsidR="00E05E04">
        <w:rPr>
          <w:rFonts w:ascii="Times New Roman" w:hAnsi="Times New Roman" w:cs="Times New Roman"/>
          <w:iCs/>
          <w:sz w:val="24"/>
          <w:szCs w:val="24"/>
        </w:rPr>
        <w:t>regulovaných složek ceny elektřiny v neprospěch průmyslu, který je zároveň zatížen sociál</w:t>
      </w:r>
      <w:r w:rsidR="00A51B73">
        <w:rPr>
          <w:rFonts w:ascii="Times New Roman" w:hAnsi="Times New Roman" w:cs="Times New Roman"/>
          <w:iCs/>
          <w:sz w:val="24"/>
          <w:szCs w:val="24"/>
        </w:rPr>
        <w:t>ně formovaným tarifním systémem.</w:t>
      </w:r>
      <w:r w:rsidR="00E05E04">
        <w:rPr>
          <w:rFonts w:ascii="Times New Roman" w:hAnsi="Times New Roman" w:cs="Times New Roman"/>
          <w:iCs/>
          <w:sz w:val="24"/>
          <w:szCs w:val="24"/>
        </w:rPr>
        <w:t xml:space="preserve"> </w:t>
      </w:r>
    </w:p>
    <w:p w:rsidR="004E25FF" w:rsidRDefault="004E25FF" w:rsidP="00E57689">
      <w:pPr>
        <w:spacing w:after="0"/>
        <w:rPr>
          <w:rFonts w:ascii="Times New Roman" w:hAnsi="Times New Roman" w:cs="Times New Roman"/>
          <w:iCs/>
          <w:sz w:val="24"/>
          <w:szCs w:val="24"/>
        </w:rPr>
      </w:pPr>
      <w:r>
        <w:rPr>
          <w:rFonts w:ascii="Times New Roman" w:hAnsi="Times New Roman" w:cs="Times New Roman"/>
          <w:iCs/>
          <w:sz w:val="24"/>
          <w:szCs w:val="24"/>
        </w:rPr>
        <w:t xml:space="preserve">Urychlení investic do jaderné energetiky, záložních plynových zdrojů a energetické </w:t>
      </w:r>
      <w:r w:rsidR="00EA42A0">
        <w:rPr>
          <w:rFonts w:ascii="Times New Roman" w:hAnsi="Times New Roman" w:cs="Times New Roman"/>
          <w:iCs/>
          <w:sz w:val="24"/>
          <w:szCs w:val="24"/>
        </w:rPr>
        <w:t>i</w:t>
      </w:r>
      <w:r>
        <w:rPr>
          <w:rFonts w:ascii="Times New Roman" w:hAnsi="Times New Roman" w:cs="Times New Roman"/>
          <w:iCs/>
          <w:sz w:val="24"/>
          <w:szCs w:val="24"/>
        </w:rPr>
        <w:t>nfrastruktury</w:t>
      </w:r>
      <w:r w:rsidR="00EA42A0">
        <w:rPr>
          <w:rFonts w:ascii="Times New Roman" w:hAnsi="Times New Roman" w:cs="Times New Roman"/>
          <w:iCs/>
          <w:sz w:val="24"/>
          <w:szCs w:val="24"/>
        </w:rPr>
        <w:t xml:space="preserve"> stejně jako spravedlivé rozdělení plateb za náklady energetických sítí v tarifním systému je nutnou podmínkou k snížení rizika nekonkurenceschopných cen energií v ČR. </w:t>
      </w:r>
    </w:p>
    <w:p w:rsidR="00FC432E" w:rsidRPr="0027110C" w:rsidRDefault="00FC432E" w:rsidP="00E57689">
      <w:pPr>
        <w:spacing w:after="0"/>
        <w:rPr>
          <w:rFonts w:ascii="Times New Roman" w:hAnsi="Times New Roman" w:cs="Times New Roman"/>
          <w:iCs/>
          <w:sz w:val="24"/>
          <w:szCs w:val="24"/>
        </w:rPr>
      </w:pPr>
    </w:p>
    <w:p w:rsidR="002A051F" w:rsidRDefault="000F6425" w:rsidP="00B60B9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12CB">
        <w:rPr>
          <w:rFonts w:ascii="Times New Roman" w:hAnsi="Times New Roman" w:cs="Times New Roman"/>
          <w:sz w:val="24"/>
          <w:szCs w:val="24"/>
        </w:rPr>
        <w:t xml:space="preserve"> </w:t>
      </w:r>
    </w:p>
    <w:p w:rsidR="00BE12CB" w:rsidRDefault="00BE12CB" w:rsidP="00B60B92">
      <w:pPr>
        <w:spacing w:after="0"/>
        <w:rPr>
          <w:rFonts w:ascii="Times New Roman" w:hAnsi="Times New Roman" w:cs="Times New Roman"/>
          <w:sz w:val="24"/>
          <w:szCs w:val="24"/>
        </w:rPr>
      </w:pPr>
    </w:p>
    <w:p w:rsidR="00FA6BD3" w:rsidRPr="00E401F0" w:rsidRDefault="00CD56AC" w:rsidP="00B60B9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17BD1" w:rsidRDefault="00737599">
      <w:r>
        <w:t xml:space="preserve">  </w:t>
      </w:r>
    </w:p>
    <w:sectPr w:rsidR="00617BD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F7C32"/>
    <w:multiLevelType w:val="hybridMultilevel"/>
    <w:tmpl w:val="CB400FC2"/>
    <w:lvl w:ilvl="0" w:tplc="CC7AE67A">
      <w:start w:val="1"/>
      <w:numFmt w:val="bullet"/>
      <w:lvlText w:val="•"/>
      <w:lvlJc w:val="left"/>
      <w:pPr>
        <w:tabs>
          <w:tab w:val="num" w:pos="720"/>
        </w:tabs>
        <w:ind w:left="720" w:hanging="360"/>
      </w:pPr>
      <w:rPr>
        <w:rFonts w:ascii="Times New Roman" w:hAnsi="Times New Roman" w:hint="default"/>
      </w:rPr>
    </w:lvl>
    <w:lvl w:ilvl="1" w:tplc="6868CBD2">
      <w:start w:val="90"/>
      <w:numFmt w:val="bullet"/>
      <w:lvlText w:val=""/>
      <w:lvlJc w:val="left"/>
      <w:pPr>
        <w:tabs>
          <w:tab w:val="num" w:pos="1440"/>
        </w:tabs>
        <w:ind w:left="1440" w:hanging="360"/>
      </w:pPr>
      <w:rPr>
        <w:rFonts w:ascii="Wingdings" w:hAnsi="Wingdings" w:hint="default"/>
      </w:rPr>
    </w:lvl>
    <w:lvl w:ilvl="2" w:tplc="AF68D20C" w:tentative="1">
      <w:start w:val="1"/>
      <w:numFmt w:val="bullet"/>
      <w:lvlText w:val="•"/>
      <w:lvlJc w:val="left"/>
      <w:pPr>
        <w:tabs>
          <w:tab w:val="num" w:pos="2160"/>
        </w:tabs>
        <w:ind w:left="2160" w:hanging="360"/>
      </w:pPr>
      <w:rPr>
        <w:rFonts w:ascii="Times New Roman" w:hAnsi="Times New Roman" w:hint="default"/>
      </w:rPr>
    </w:lvl>
    <w:lvl w:ilvl="3" w:tplc="BE8222C0" w:tentative="1">
      <w:start w:val="1"/>
      <w:numFmt w:val="bullet"/>
      <w:lvlText w:val="•"/>
      <w:lvlJc w:val="left"/>
      <w:pPr>
        <w:tabs>
          <w:tab w:val="num" w:pos="2880"/>
        </w:tabs>
        <w:ind w:left="2880" w:hanging="360"/>
      </w:pPr>
      <w:rPr>
        <w:rFonts w:ascii="Times New Roman" w:hAnsi="Times New Roman" w:hint="default"/>
      </w:rPr>
    </w:lvl>
    <w:lvl w:ilvl="4" w:tplc="A1EC814C" w:tentative="1">
      <w:start w:val="1"/>
      <w:numFmt w:val="bullet"/>
      <w:lvlText w:val="•"/>
      <w:lvlJc w:val="left"/>
      <w:pPr>
        <w:tabs>
          <w:tab w:val="num" w:pos="3600"/>
        </w:tabs>
        <w:ind w:left="3600" w:hanging="360"/>
      </w:pPr>
      <w:rPr>
        <w:rFonts w:ascii="Times New Roman" w:hAnsi="Times New Roman" w:hint="default"/>
      </w:rPr>
    </w:lvl>
    <w:lvl w:ilvl="5" w:tplc="ABC2D81C" w:tentative="1">
      <w:start w:val="1"/>
      <w:numFmt w:val="bullet"/>
      <w:lvlText w:val="•"/>
      <w:lvlJc w:val="left"/>
      <w:pPr>
        <w:tabs>
          <w:tab w:val="num" w:pos="4320"/>
        </w:tabs>
        <w:ind w:left="4320" w:hanging="360"/>
      </w:pPr>
      <w:rPr>
        <w:rFonts w:ascii="Times New Roman" w:hAnsi="Times New Roman" w:hint="default"/>
      </w:rPr>
    </w:lvl>
    <w:lvl w:ilvl="6" w:tplc="2904C6F4" w:tentative="1">
      <w:start w:val="1"/>
      <w:numFmt w:val="bullet"/>
      <w:lvlText w:val="•"/>
      <w:lvlJc w:val="left"/>
      <w:pPr>
        <w:tabs>
          <w:tab w:val="num" w:pos="5040"/>
        </w:tabs>
        <w:ind w:left="5040" w:hanging="360"/>
      </w:pPr>
      <w:rPr>
        <w:rFonts w:ascii="Times New Roman" w:hAnsi="Times New Roman" w:hint="default"/>
      </w:rPr>
    </w:lvl>
    <w:lvl w:ilvl="7" w:tplc="2E1C778A" w:tentative="1">
      <w:start w:val="1"/>
      <w:numFmt w:val="bullet"/>
      <w:lvlText w:val="•"/>
      <w:lvlJc w:val="left"/>
      <w:pPr>
        <w:tabs>
          <w:tab w:val="num" w:pos="5760"/>
        </w:tabs>
        <w:ind w:left="5760" w:hanging="360"/>
      </w:pPr>
      <w:rPr>
        <w:rFonts w:ascii="Times New Roman" w:hAnsi="Times New Roman" w:hint="default"/>
      </w:rPr>
    </w:lvl>
    <w:lvl w:ilvl="8" w:tplc="63B4548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1425B94"/>
    <w:multiLevelType w:val="hybridMultilevel"/>
    <w:tmpl w:val="E398F9BC"/>
    <w:lvl w:ilvl="0" w:tplc="ECCAAC06">
      <w:start w:val="1"/>
      <w:numFmt w:val="bullet"/>
      <w:lvlText w:val="-"/>
      <w:lvlJc w:val="left"/>
      <w:pPr>
        <w:ind w:left="864" w:hanging="360"/>
      </w:pPr>
      <w:rPr>
        <w:rFonts w:ascii="Courier New" w:hAnsi="Courier New"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99"/>
    <w:rsid w:val="00021775"/>
    <w:rsid w:val="000B3D15"/>
    <w:rsid w:val="000C6626"/>
    <w:rsid w:val="000F4E78"/>
    <w:rsid w:val="000F6425"/>
    <w:rsid w:val="00107AB3"/>
    <w:rsid w:val="00113B61"/>
    <w:rsid w:val="00140585"/>
    <w:rsid w:val="001D4526"/>
    <w:rsid w:val="001D56E2"/>
    <w:rsid w:val="002179C4"/>
    <w:rsid w:val="00251084"/>
    <w:rsid w:val="0026359D"/>
    <w:rsid w:val="0027110C"/>
    <w:rsid w:val="00283C68"/>
    <w:rsid w:val="002A051F"/>
    <w:rsid w:val="002E0519"/>
    <w:rsid w:val="003415EB"/>
    <w:rsid w:val="00375F8E"/>
    <w:rsid w:val="00380570"/>
    <w:rsid w:val="004E25FF"/>
    <w:rsid w:val="004F1A53"/>
    <w:rsid w:val="00553728"/>
    <w:rsid w:val="005F75C0"/>
    <w:rsid w:val="00617BD1"/>
    <w:rsid w:val="00675697"/>
    <w:rsid w:val="006A3342"/>
    <w:rsid w:val="006C301E"/>
    <w:rsid w:val="006E787A"/>
    <w:rsid w:val="00737599"/>
    <w:rsid w:val="00746C78"/>
    <w:rsid w:val="007475FC"/>
    <w:rsid w:val="007667B0"/>
    <w:rsid w:val="007837F9"/>
    <w:rsid w:val="00831613"/>
    <w:rsid w:val="008645EC"/>
    <w:rsid w:val="00891233"/>
    <w:rsid w:val="008C1CE9"/>
    <w:rsid w:val="008D7725"/>
    <w:rsid w:val="00902390"/>
    <w:rsid w:val="00952C16"/>
    <w:rsid w:val="00955471"/>
    <w:rsid w:val="00970C6E"/>
    <w:rsid w:val="009B1159"/>
    <w:rsid w:val="009D4233"/>
    <w:rsid w:val="00A14E76"/>
    <w:rsid w:val="00A51B73"/>
    <w:rsid w:val="00A634CD"/>
    <w:rsid w:val="00A84AF1"/>
    <w:rsid w:val="00A86A8F"/>
    <w:rsid w:val="00B57182"/>
    <w:rsid w:val="00B60B92"/>
    <w:rsid w:val="00BE12CB"/>
    <w:rsid w:val="00CA1246"/>
    <w:rsid w:val="00CD56AC"/>
    <w:rsid w:val="00D144E2"/>
    <w:rsid w:val="00D14874"/>
    <w:rsid w:val="00D55E3A"/>
    <w:rsid w:val="00D81E23"/>
    <w:rsid w:val="00DA4438"/>
    <w:rsid w:val="00DF7AAE"/>
    <w:rsid w:val="00E05E04"/>
    <w:rsid w:val="00E1015D"/>
    <w:rsid w:val="00E13854"/>
    <w:rsid w:val="00E20313"/>
    <w:rsid w:val="00E401F0"/>
    <w:rsid w:val="00E57689"/>
    <w:rsid w:val="00EA42A0"/>
    <w:rsid w:val="00ED70E8"/>
    <w:rsid w:val="00F04FB9"/>
    <w:rsid w:val="00F148DB"/>
    <w:rsid w:val="00F353A7"/>
    <w:rsid w:val="00F84640"/>
    <w:rsid w:val="00FA1FDE"/>
    <w:rsid w:val="00FA6BD3"/>
    <w:rsid w:val="00FC432E"/>
    <w:rsid w:val="00FE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3547-A233-401E-80B9-FDD2BD9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1084"/>
    <w:pPr>
      <w:ind w:left="720"/>
      <w:contextualSpacing/>
    </w:pPr>
  </w:style>
  <w:style w:type="character" w:styleId="Hypertextovodkaz">
    <w:name w:val="Hyperlink"/>
    <w:basedOn w:val="Standardnpsmoodstavce"/>
    <w:uiPriority w:val="99"/>
    <w:unhideWhenUsed/>
    <w:rsid w:val="001D56E2"/>
    <w:rPr>
      <w:color w:val="0563C1" w:themeColor="hyperlink"/>
      <w:u w:val="single"/>
    </w:rPr>
  </w:style>
  <w:style w:type="paragraph" w:styleId="Textbubliny">
    <w:name w:val="Balloon Text"/>
    <w:basedOn w:val="Normln"/>
    <w:link w:val="TextbublinyChar"/>
    <w:uiPriority w:val="99"/>
    <w:semiHidden/>
    <w:unhideWhenUsed/>
    <w:rsid w:val="00283C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C68"/>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95602">
      <w:bodyDiv w:val="1"/>
      <w:marLeft w:val="0"/>
      <w:marRight w:val="0"/>
      <w:marTop w:val="0"/>
      <w:marBottom w:val="0"/>
      <w:divBdr>
        <w:top w:val="none" w:sz="0" w:space="0" w:color="auto"/>
        <w:left w:val="none" w:sz="0" w:space="0" w:color="auto"/>
        <w:bottom w:val="none" w:sz="0" w:space="0" w:color="auto"/>
        <w:right w:val="none" w:sz="0" w:space="0" w:color="auto"/>
      </w:divBdr>
      <w:divsChild>
        <w:div w:id="1163934824">
          <w:marLeft w:val="547"/>
          <w:marRight w:val="0"/>
          <w:marTop w:val="0"/>
          <w:marBottom w:val="151"/>
          <w:divBdr>
            <w:top w:val="none" w:sz="0" w:space="0" w:color="auto"/>
            <w:left w:val="none" w:sz="0" w:space="0" w:color="auto"/>
            <w:bottom w:val="none" w:sz="0" w:space="0" w:color="auto"/>
            <w:right w:val="none" w:sz="0" w:space="0" w:color="auto"/>
          </w:divBdr>
        </w:div>
        <w:div w:id="29115041">
          <w:marLeft w:val="1166"/>
          <w:marRight w:val="0"/>
          <w:marTop w:val="0"/>
          <w:marBottom w:val="120"/>
          <w:divBdr>
            <w:top w:val="none" w:sz="0" w:space="0" w:color="auto"/>
            <w:left w:val="none" w:sz="0" w:space="0" w:color="auto"/>
            <w:bottom w:val="none" w:sz="0" w:space="0" w:color="auto"/>
            <w:right w:val="none" w:sz="0" w:space="0" w:color="auto"/>
          </w:divBdr>
        </w:div>
        <w:div w:id="745491614">
          <w:marLeft w:val="1166"/>
          <w:marRight w:val="0"/>
          <w:marTop w:val="0"/>
          <w:marBottom w:val="120"/>
          <w:divBdr>
            <w:top w:val="none" w:sz="0" w:space="0" w:color="auto"/>
            <w:left w:val="none" w:sz="0" w:space="0" w:color="auto"/>
            <w:bottom w:val="none" w:sz="0" w:space="0" w:color="auto"/>
            <w:right w:val="none" w:sz="0" w:space="0" w:color="auto"/>
          </w:divBdr>
        </w:div>
        <w:div w:id="188297098">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se-csze.cz/verejne-akce/diskuzni-odpoledne-svs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1621</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Šimeček</dc:creator>
  <cp:keywords/>
  <dc:description/>
  <cp:lastModifiedBy>Karel Šimeček</cp:lastModifiedBy>
  <cp:revision>3</cp:revision>
  <cp:lastPrinted>2023-09-15T07:50:00Z</cp:lastPrinted>
  <dcterms:created xsi:type="dcterms:W3CDTF">2023-09-15T07:50:00Z</dcterms:created>
  <dcterms:modified xsi:type="dcterms:W3CDTF">2023-09-15T08:12:00Z</dcterms:modified>
</cp:coreProperties>
</file>